
<file path=[Content_Types].xml><?xml version="1.0" encoding="utf-8"?>
<Types xmlns="http://schemas.openxmlformats.org/package/2006/content-types">
  <Override PartName="/_rels/.rels" ContentType="application/vnd.openxmlformats-package.relationships+xml"/>
  <Override PartName="/customXml/_rels/item1.xml.rels" ContentType="application/vnd.openxmlformats-package.relationships+xml"/>
  <Override PartName="/customXml/itemProps1.xml" ContentType="application/vnd.openxmlformats-officedocument.customXmlProperties+xml"/>
  <Override PartName="/customXml/item1.xml" ContentType="application/xml"/>
  <Override PartName="/word/_rels/header1.xml.rels" ContentType="application/vnd.openxmlformats-package.relationships+xml"/>
  <Override PartName="/word/_rels/document.xml.rels" ContentType="application/vnd.openxmlformats-package.relationships+xml"/>
  <Override PartName="/word/fontTable.xml" ContentType="application/vnd.openxmlformats-officedocument.wordprocessingml.fontTable+xml"/>
  <Override PartName="/word/settings.xml" ContentType="application/vnd.openxmlformats-officedocument.wordprocessingml.settings+xml"/>
  <Override PartName="/word/footnotes.xml" ContentType="application/vnd.openxmlformats-officedocument.wordprocessingml.footnotes+xml"/>
  <Override PartName="/word/footer1.xml" ContentType="application/vnd.openxmlformats-officedocument.wordprocessingml.footer+xml"/>
  <Override PartName="/word/header1.xml" ContentType="application/vnd.openxmlformats-officedocument.wordprocessingml.header+xml"/>
  <Override PartName="/word/media/image2.png" ContentType="image/png"/>
  <Override PartName="/word/media/image1.jpeg" ContentType="image/jpeg"/>
  <Override PartName="/word/numbering.xml" ContentType="application/vnd.openxmlformats-officedocument.wordprocessingml.numbering+xml"/>
  <Override PartName="/word/styles.xml" ContentType="application/vnd.openxmlformats-officedocument.wordprocessingml.styles+xml"/>
  <Override PartName="/word/theme/theme1.xml" ContentType="application/vnd.openxmlformats-officedocument.theme+xml"/>
  <Override PartName="/word/document.xml" ContentType="application/vnd.openxmlformats-officedocument.wordprocessingml.document.main+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Encabezado1"/>
        <w:spacing w:before="240" w:after="0"/>
        <w:rPr>
          <w:lang w:val="es-ES"/>
        </w:rPr>
      </w:pPr>
      <w:bookmarkStart w:id="0" w:name="_Toc409633683"/>
      <w:bookmarkEnd w:id="0"/>
      <w:r>
        <w:rPr>
          <w:lang w:val="es-ES"/>
        </w:rPr>
        <w:t>Comisión Organizativa</w:t>
      </w:r>
      <w:r/>
    </w:p>
    <w:p>
      <w:pPr>
        <w:pStyle w:val="Encabezado2"/>
        <w:rPr>
          <w:lang w:val="es-ES"/>
        </w:rPr>
      </w:pPr>
      <w:bookmarkStart w:id="1" w:name="_Toc409633684"/>
      <w:bookmarkEnd w:id="1"/>
      <w:r>
        <w:rPr>
          <w:lang w:val="es-ES"/>
        </w:rPr>
        <w:t>Acta de la reunión</w:t>
      </w:r>
      <w:r/>
    </w:p>
    <w:p>
      <w:pPr>
        <w:pStyle w:val="Normal"/>
        <w:rPr>
          <w:lang w:val="es-ES"/>
        </w:rPr>
      </w:pPr>
      <w:r>
        <w:rPr>
          <w:lang w:val="es-ES"/>
        </w:rPr>
      </w:r>
      <w:r/>
    </w:p>
    <w:tbl>
      <w:tblPr>
        <w:tblStyle w:val="TableGrid"/>
        <w:tblW w:w="6759" w:type="dxa"/>
        <w:jc w:val="center"/>
        <w:tblInd w:w="0" w:type="dxa"/>
        <w:tblBorders/>
        <w:tblCellMar>
          <w:top w:w="0" w:type="dxa"/>
          <w:left w:w="108" w:type="dxa"/>
          <w:bottom w:w="0" w:type="dxa"/>
          <w:right w:w="108" w:type="dxa"/>
        </w:tblCellMar>
      </w:tblPr>
      <w:tblGrid>
        <w:gridCol w:w="2932"/>
        <w:gridCol w:w="3826"/>
      </w:tblGrid>
      <w:tr>
        <w:trPr/>
        <w:tc>
          <w:tcPr>
            <w:tcW w:w="2932" w:type="dxa"/>
            <w:tcBorders/>
            <w:shd w:color="auto" w:fill="F2F2F2" w:themeFill="background1" w:themeFillShade="f2" w:val="clear"/>
            <w:tcMar>
              <w:left w:w="108" w:type="dxa"/>
            </w:tcMar>
          </w:tcPr>
          <w:p>
            <w:pPr>
              <w:pStyle w:val="Normal"/>
              <w:spacing w:lineRule="auto" w:line="240" w:before="0" w:after="0"/>
              <w:rPr>
                <w:lang w:val="es-ES"/>
              </w:rPr>
            </w:pPr>
            <w:r>
              <w:rPr>
                <w:lang w:val="es-ES"/>
              </w:rPr>
              <w:t>Fecha y hora</w:t>
            </w:r>
            <w:r/>
          </w:p>
        </w:tc>
        <w:tc>
          <w:tcPr>
            <w:tcW w:w="3826" w:type="dxa"/>
            <w:tcBorders/>
            <w:shd w:fill="auto" w:val="clear"/>
            <w:tcMar>
              <w:left w:w="108" w:type="dxa"/>
            </w:tcMar>
          </w:tcPr>
          <w:p>
            <w:pPr>
              <w:pStyle w:val="Normal"/>
              <w:spacing w:lineRule="auto" w:line="240" w:before="0" w:after="0"/>
              <w:rPr>
                <w:lang w:val="es-ES"/>
              </w:rPr>
            </w:pPr>
            <w:r>
              <w:rPr>
                <w:lang w:val="es-ES"/>
              </w:rPr>
              <w:t>16 de enero de 2015, 18.00 h</w:t>
            </w:r>
            <w:r/>
          </w:p>
        </w:tc>
      </w:tr>
      <w:tr>
        <w:trPr/>
        <w:tc>
          <w:tcPr>
            <w:tcW w:w="2932" w:type="dxa"/>
            <w:tcBorders/>
            <w:shd w:color="auto" w:fill="F2F2F2" w:themeFill="background1" w:themeFillShade="f2" w:val="clear"/>
            <w:tcMar>
              <w:left w:w="108" w:type="dxa"/>
            </w:tcMar>
          </w:tcPr>
          <w:p>
            <w:pPr>
              <w:pStyle w:val="Normal"/>
              <w:spacing w:lineRule="auto" w:line="240" w:before="0" w:after="0"/>
              <w:rPr>
                <w:lang w:val="es-ES"/>
              </w:rPr>
            </w:pPr>
            <w:r>
              <w:rPr>
                <w:lang w:val="es-ES"/>
              </w:rPr>
              <w:t>Lugar</w:t>
            </w:r>
            <w:r/>
          </w:p>
        </w:tc>
        <w:tc>
          <w:tcPr>
            <w:tcW w:w="3826" w:type="dxa"/>
            <w:tcBorders/>
            <w:shd w:fill="auto" w:val="clear"/>
            <w:tcMar>
              <w:left w:w="108" w:type="dxa"/>
            </w:tcMar>
          </w:tcPr>
          <w:p>
            <w:pPr>
              <w:pStyle w:val="Normal"/>
              <w:spacing w:lineRule="auto" w:line="240" w:before="0" w:after="0"/>
              <w:rPr>
                <w:lang w:val="en-US"/>
              </w:rPr>
            </w:pPr>
            <w:r>
              <w:rPr>
                <w:lang w:val="en-US"/>
              </w:rPr>
              <w:t>The Barbican, Silk Street, Londres</w:t>
            </w:r>
            <w:r/>
          </w:p>
        </w:tc>
      </w:tr>
      <w:tr>
        <w:trPr/>
        <w:tc>
          <w:tcPr>
            <w:tcW w:w="2932" w:type="dxa"/>
            <w:tcBorders/>
            <w:shd w:color="auto" w:fill="F2F2F2" w:themeFill="background1" w:themeFillShade="f2" w:val="clear"/>
            <w:tcMar>
              <w:left w:w="108" w:type="dxa"/>
            </w:tcMar>
          </w:tcPr>
          <w:p>
            <w:pPr>
              <w:pStyle w:val="Normal"/>
              <w:spacing w:lineRule="auto" w:line="240" w:before="0" w:after="0"/>
              <w:rPr>
                <w:lang w:val="es-ES"/>
              </w:rPr>
            </w:pPr>
            <w:r>
              <w:rPr>
                <w:lang w:val="es-ES"/>
              </w:rPr>
              <w:t>Versión del acta</w:t>
            </w:r>
            <w:r/>
          </w:p>
        </w:tc>
        <w:tc>
          <w:tcPr>
            <w:tcW w:w="3826" w:type="dxa"/>
            <w:tcBorders/>
            <w:shd w:fill="auto" w:val="clear"/>
            <w:tcMar>
              <w:left w:w="108" w:type="dxa"/>
            </w:tcMar>
          </w:tcPr>
          <w:p>
            <w:pPr>
              <w:pStyle w:val="Normal"/>
              <w:spacing w:lineRule="auto" w:line="240" w:before="0" w:after="0"/>
              <w:rPr>
                <w:lang w:val="es-ES"/>
              </w:rPr>
            </w:pPr>
            <w:r>
              <w:rPr>
                <w:lang w:val="es-ES"/>
              </w:rPr>
              <w:t>1.0</w:t>
            </w:r>
            <w:r/>
          </w:p>
        </w:tc>
      </w:tr>
      <w:tr>
        <w:trPr/>
        <w:tc>
          <w:tcPr>
            <w:tcW w:w="2932" w:type="dxa"/>
            <w:tcBorders/>
            <w:shd w:color="auto" w:fill="F2F2F2" w:themeFill="background1" w:themeFillShade="f2" w:val="clear"/>
            <w:tcMar>
              <w:left w:w="108" w:type="dxa"/>
            </w:tcMar>
          </w:tcPr>
          <w:p>
            <w:pPr>
              <w:pStyle w:val="Normal"/>
              <w:spacing w:lineRule="auto" w:line="240" w:before="0" w:after="0"/>
              <w:rPr>
                <w:lang w:val="es-ES"/>
              </w:rPr>
            </w:pPr>
            <w:r>
              <w:rPr>
                <w:lang w:val="es-ES"/>
              </w:rPr>
              <w:t>Fecha de acta</w:t>
            </w:r>
            <w:r/>
          </w:p>
        </w:tc>
        <w:tc>
          <w:tcPr>
            <w:tcW w:w="3826" w:type="dxa"/>
            <w:tcBorders/>
            <w:shd w:fill="auto" w:val="clear"/>
            <w:tcMar>
              <w:left w:w="108" w:type="dxa"/>
            </w:tcMar>
          </w:tcPr>
          <w:p>
            <w:pPr>
              <w:pStyle w:val="Normal"/>
              <w:spacing w:lineRule="auto" w:line="240" w:before="0" w:after="0"/>
              <w:rPr>
                <w:lang w:val="es-ES"/>
              </w:rPr>
            </w:pPr>
            <w:r>
              <w:rPr>
                <w:lang w:val="es-ES"/>
              </w:rPr>
              <w:t>29 de enero de 2015</w:t>
            </w:r>
            <w:r/>
          </w:p>
        </w:tc>
      </w:tr>
    </w:tbl>
    <w:p>
      <w:pPr>
        <w:pStyle w:val="Normal"/>
        <w:rPr>
          <w:lang w:val="es-ES"/>
        </w:rPr>
      </w:pPr>
      <w:r>
        <w:rPr>
          <w:lang w:val="es-ES"/>
        </w:rPr>
      </w:r>
      <w:r/>
    </w:p>
    <w:tbl>
      <w:tblPr>
        <w:tblStyle w:val="TableGrid"/>
        <w:tblW w:w="5985" w:type="dxa"/>
        <w:jc w:val="center"/>
        <w:tblInd w:w="0" w:type="dxa"/>
        <w:tblBorders/>
        <w:tblCellMar>
          <w:top w:w="0" w:type="dxa"/>
          <w:left w:w="108" w:type="dxa"/>
          <w:bottom w:w="0" w:type="dxa"/>
          <w:right w:w="108" w:type="dxa"/>
        </w:tblCellMar>
      </w:tblPr>
      <w:tblGrid>
        <w:gridCol w:w="3187"/>
        <w:gridCol w:w="2797"/>
      </w:tblGrid>
      <w:tr>
        <w:trPr/>
        <w:tc>
          <w:tcPr>
            <w:tcW w:w="3187" w:type="dxa"/>
            <w:tcBorders/>
            <w:shd w:color="auto" w:fill="F2F2F2" w:themeFill="background1" w:themeFillShade="f2" w:val="clear"/>
            <w:tcMar>
              <w:left w:w="108" w:type="dxa"/>
            </w:tcMar>
            <w:vAlign w:val="center"/>
          </w:tcPr>
          <w:p>
            <w:pPr>
              <w:pStyle w:val="Normal"/>
              <w:spacing w:lineRule="auto" w:line="240" w:before="0" w:after="0"/>
              <w:ind w:left="18" w:hanging="0"/>
              <w:jc w:val="center"/>
              <w:rPr>
                <w:lang w:val="es-ES"/>
              </w:rPr>
            </w:pPr>
            <w:r>
              <w:rPr>
                <w:lang w:val="es-ES"/>
              </w:rPr>
              <w:t>Asistentes a la reunión</w:t>
            </w:r>
            <w:r/>
          </w:p>
          <w:p>
            <w:pPr>
              <w:pStyle w:val="Normal"/>
              <w:spacing w:lineRule="auto" w:line="240" w:before="0" w:after="0"/>
              <w:ind w:left="18" w:hanging="0"/>
              <w:jc w:val="center"/>
              <w:rPr>
                <w:lang w:val="es-ES"/>
              </w:rPr>
            </w:pPr>
            <w:r>
              <w:rPr>
                <w:lang w:val="es-ES"/>
              </w:rPr>
              <w:t>(10 personas)</w:t>
            </w:r>
            <w:r/>
          </w:p>
        </w:tc>
        <w:tc>
          <w:tcPr>
            <w:tcW w:w="2797" w:type="dxa"/>
            <w:tcBorders/>
            <w:shd w:color="auto" w:fill="F2F2F2" w:themeFill="background1" w:themeFillShade="f2" w:val="clear"/>
            <w:tcMar>
              <w:left w:w="108" w:type="dxa"/>
            </w:tcMar>
            <w:vAlign w:val="center"/>
          </w:tcPr>
          <w:p>
            <w:pPr>
              <w:pStyle w:val="Normal"/>
              <w:spacing w:lineRule="auto" w:line="240" w:before="0" w:after="0"/>
              <w:ind w:left="18" w:hanging="0"/>
              <w:jc w:val="center"/>
              <w:rPr>
                <w:lang w:val="es-ES"/>
              </w:rPr>
            </w:pPr>
            <w:r>
              <w:rPr>
                <w:lang w:val="es-ES"/>
              </w:rPr>
              <w:t>Convocados ausentes</w:t>
            </w:r>
            <w:r/>
          </w:p>
          <w:p>
            <w:pPr>
              <w:pStyle w:val="Normal"/>
              <w:spacing w:lineRule="auto" w:line="240" w:before="0" w:after="0"/>
              <w:ind w:left="18" w:hanging="0"/>
              <w:jc w:val="center"/>
              <w:rPr>
                <w:lang w:val="es-ES"/>
              </w:rPr>
            </w:pPr>
            <w:r>
              <w:rPr>
                <w:lang w:val="es-ES"/>
              </w:rPr>
              <w:t>(8 personas)</w:t>
            </w:r>
            <w:r/>
          </w:p>
        </w:tc>
      </w:tr>
      <w:tr>
        <w:trPr>
          <w:trHeight w:val="3086" w:hRule="atLeast"/>
        </w:trPr>
        <w:tc>
          <w:tcPr>
            <w:tcW w:w="3187" w:type="dxa"/>
            <w:tcBorders/>
            <w:shd w:fill="auto" w:val="clear"/>
            <w:tcMar>
              <w:left w:w="108" w:type="dxa"/>
            </w:tcMar>
            <w:vAlign w:val="center"/>
          </w:tcPr>
          <w:p>
            <w:pPr>
              <w:pStyle w:val="ListParagraph"/>
              <w:numPr>
                <w:ilvl w:val="0"/>
                <w:numId w:val="1"/>
              </w:numPr>
              <w:spacing w:lineRule="auto" w:line="240" w:before="0" w:after="0"/>
              <w:ind w:left="301" w:hanging="283"/>
              <w:contextualSpacing/>
              <w:rPr>
                <w:lang w:val="es-ES"/>
              </w:rPr>
            </w:pPr>
            <w:r>
              <w:rPr>
                <w:lang w:val="es-ES"/>
              </w:rPr>
              <w:t>Andrea Ayuso Morillo</w:t>
            </w:r>
            <w:r/>
          </w:p>
          <w:p>
            <w:pPr>
              <w:pStyle w:val="ListParagraph"/>
              <w:numPr>
                <w:ilvl w:val="0"/>
                <w:numId w:val="1"/>
              </w:numPr>
              <w:spacing w:lineRule="auto" w:line="240" w:before="0" w:after="0"/>
              <w:ind w:left="301" w:hanging="283"/>
              <w:contextualSpacing/>
              <w:rPr>
                <w:lang w:val="es-ES"/>
              </w:rPr>
            </w:pPr>
            <w:r>
              <w:rPr>
                <w:lang w:val="es-ES"/>
              </w:rPr>
              <w:t>Antonio Hernández</w:t>
            </w:r>
            <w:r/>
          </w:p>
          <w:p>
            <w:pPr>
              <w:pStyle w:val="ListParagraph"/>
              <w:numPr>
                <w:ilvl w:val="0"/>
                <w:numId w:val="1"/>
              </w:numPr>
              <w:spacing w:lineRule="auto" w:line="240" w:before="0" w:after="0"/>
              <w:ind w:left="301" w:hanging="283"/>
              <w:contextualSpacing/>
              <w:rPr>
                <w:lang w:val="es-ES"/>
              </w:rPr>
            </w:pPr>
            <w:r>
              <w:rPr>
                <w:lang w:val="es-ES"/>
              </w:rPr>
              <w:t>Fernando Martín</w:t>
            </w:r>
            <w:r/>
          </w:p>
          <w:p>
            <w:pPr>
              <w:pStyle w:val="ListParagraph"/>
              <w:numPr>
                <w:ilvl w:val="0"/>
                <w:numId w:val="1"/>
              </w:numPr>
              <w:spacing w:lineRule="auto" w:line="240" w:before="0" w:after="0"/>
              <w:ind w:left="301" w:hanging="283"/>
              <w:contextualSpacing/>
              <w:rPr>
                <w:lang w:val="es-ES"/>
              </w:rPr>
            </w:pPr>
            <w:r>
              <w:rPr>
                <w:lang w:val="es-ES"/>
              </w:rPr>
              <w:t>Jaume Mateu</w:t>
            </w:r>
            <w:r/>
          </w:p>
          <w:p>
            <w:pPr>
              <w:pStyle w:val="ListParagraph"/>
              <w:numPr>
                <w:ilvl w:val="0"/>
                <w:numId w:val="1"/>
              </w:numPr>
              <w:spacing w:lineRule="auto" w:line="240" w:before="0" w:after="0"/>
              <w:ind w:left="301" w:hanging="283"/>
              <w:contextualSpacing/>
              <w:rPr>
                <w:lang w:val="es-ES"/>
              </w:rPr>
            </w:pPr>
            <w:r>
              <w:rPr>
                <w:lang w:val="es-ES"/>
              </w:rPr>
              <w:t>Laura Gutiérrez</w:t>
            </w:r>
            <w:r/>
          </w:p>
          <w:p>
            <w:pPr>
              <w:pStyle w:val="ListParagraph"/>
              <w:numPr>
                <w:ilvl w:val="0"/>
                <w:numId w:val="1"/>
              </w:numPr>
              <w:spacing w:lineRule="auto" w:line="240" w:before="0" w:after="0"/>
              <w:ind w:left="301" w:hanging="283"/>
              <w:contextualSpacing/>
              <w:rPr>
                <w:lang w:val="es-ES"/>
              </w:rPr>
            </w:pPr>
            <w:r>
              <w:rPr>
                <w:lang w:val="es-ES"/>
              </w:rPr>
              <w:t>Leticia Bernues</w:t>
            </w:r>
            <w:r/>
          </w:p>
          <w:p>
            <w:pPr>
              <w:pStyle w:val="ListParagraph"/>
              <w:numPr>
                <w:ilvl w:val="0"/>
                <w:numId w:val="1"/>
              </w:numPr>
              <w:spacing w:lineRule="auto" w:line="240" w:before="0" w:after="0"/>
              <w:ind w:left="301" w:hanging="283"/>
              <w:contextualSpacing/>
              <w:rPr>
                <w:lang w:val="es-ES"/>
              </w:rPr>
            </w:pPr>
            <w:r>
              <w:rPr>
                <w:lang w:val="es-ES"/>
              </w:rPr>
              <w:t>Luz Acevedo</w:t>
            </w:r>
            <w:r/>
          </w:p>
          <w:p>
            <w:pPr>
              <w:pStyle w:val="ListParagraph"/>
              <w:numPr>
                <w:ilvl w:val="0"/>
                <w:numId w:val="1"/>
              </w:numPr>
              <w:spacing w:lineRule="auto" w:line="240" w:before="0" w:after="0"/>
              <w:ind w:left="301" w:hanging="283"/>
              <w:contextualSpacing/>
              <w:rPr>
                <w:lang w:val="es-ES"/>
              </w:rPr>
            </w:pPr>
            <w:r>
              <w:rPr>
                <w:lang w:val="es-ES"/>
              </w:rPr>
              <w:t>Sergio Moreno</w:t>
            </w:r>
            <w:r/>
          </w:p>
          <w:p>
            <w:pPr>
              <w:pStyle w:val="ListParagraph"/>
              <w:numPr>
                <w:ilvl w:val="0"/>
                <w:numId w:val="1"/>
              </w:numPr>
              <w:spacing w:lineRule="auto" w:line="240" w:before="0" w:after="0"/>
              <w:ind w:left="301" w:hanging="283"/>
              <w:contextualSpacing/>
              <w:rPr>
                <w:lang w:val="es-ES"/>
              </w:rPr>
            </w:pPr>
            <w:r>
              <w:rPr>
                <w:lang w:val="es-ES"/>
              </w:rPr>
              <w:t>Sirio Canós</w:t>
            </w:r>
            <w:r/>
          </w:p>
          <w:p>
            <w:pPr>
              <w:pStyle w:val="ListParagraph"/>
              <w:numPr>
                <w:ilvl w:val="0"/>
                <w:numId w:val="1"/>
              </w:numPr>
              <w:spacing w:lineRule="auto" w:line="240" w:before="0" w:after="0"/>
              <w:ind w:left="301" w:hanging="283"/>
              <w:contextualSpacing/>
              <w:rPr>
                <w:lang w:val="es-ES"/>
              </w:rPr>
            </w:pPr>
            <w:r>
              <w:rPr>
                <w:lang w:val="es-ES"/>
              </w:rPr>
              <w:t>Vicente Espinosa</w:t>
            </w:r>
            <w:r/>
          </w:p>
        </w:tc>
        <w:tc>
          <w:tcPr>
            <w:tcW w:w="2797" w:type="dxa"/>
            <w:tcBorders/>
            <w:shd w:fill="auto" w:val="clear"/>
            <w:tcMar>
              <w:left w:w="108" w:type="dxa"/>
            </w:tcMar>
            <w:vAlign w:val="center"/>
          </w:tcPr>
          <w:p>
            <w:pPr>
              <w:pStyle w:val="ListParagraph"/>
              <w:numPr>
                <w:ilvl w:val="0"/>
                <w:numId w:val="1"/>
              </w:numPr>
              <w:spacing w:lineRule="auto" w:line="240" w:before="0" w:after="0"/>
              <w:ind w:left="301" w:hanging="283"/>
              <w:contextualSpacing/>
              <w:rPr>
                <w:lang w:val="es-ES"/>
              </w:rPr>
            </w:pPr>
            <w:r>
              <w:rPr>
                <w:lang w:val="es-ES"/>
              </w:rPr>
              <w:t>Ana Parra</w:t>
            </w:r>
            <w:r/>
          </w:p>
          <w:p>
            <w:pPr>
              <w:pStyle w:val="ListParagraph"/>
              <w:numPr>
                <w:ilvl w:val="0"/>
                <w:numId w:val="1"/>
              </w:numPr>
              <w:spacing w:lineRule="auto" w:line="240" w:before="0" w:after="0"/>
              <w:ind w:left="301" w:hanging="283"/>
              <w:contextualSpacing/>
              <w:rPr>
                <w:lang w:val="es-ES"/>
              </w:rPr>
            </w:pPr>
            <w:r>
              <w:rPr>
                <w:lang w:val="es-ES"/>
              </w:rPr>
              <w:t>Antonio Jiménez</w:t>
            </w:r>
            <w:r/>
          </w:p>
          <w:p>
            <w:pPr>
              <w:pStyle w:val="ListParagraph"/>
              <w:numPr>
                <w:ilvl w:val="0"/>
                <w:numId w:val="1"/>
              </w:numPr>
              <w:spacing w:lineRule="auto" w:line="240" w:before="0" w:after="0"/>
              <w:ind w:left="301" w:hanging="283"/>
              <w:contextualSpacing/>
              <w:rPr>
                <w:lang w:val="es-ES"/>
              </w:rPr>
            </w:pPr>
            <w:r>
              <w:rPr>
                <w:lang w:val="es-ES"/>
              </w:rPr>
              <w:t>Fausto Llopis</w:t>
            </w:r>
            <w:r/>
          </w:p>
          <w:p>
            <w:pPr>
              <w:pStyle w:val="ListParagraph"/>
              <w:numPr>
                <w:ilvl w:val="0"/>
                <w:numId w:val="1"/>
              </w:numPr>
              <w:spacing w:lineRule="auto" w:line="240" w:before="0" w:after="0"/>
              <w:ind w:left="301" w:hanging="283"/>
              <w:contextualSpacing/>
              <w:rPr>
                <w:lang w:val="es-ES"/>
              </w:rPr>
            </w:pPr>
            <w:r>
              <w:rPr>
                <w:lang w:val="es-ES"/>
              </w:rPr>
              <w:t>Gordo Irujo</w:t>
            </w:r>
            <w:r/>
          </w:p>
          <w:p>
            <w:pPr>
              <w:pStyle w:val="ListParagraph"/>
              <w:numPr>
                <w:ilvl w:val="0"/>
                <w:numId w:val="1"/>
              </w:numPr>
              <w:spacing w:lineRule="auto" w:line="240" w:before="0" w:after="0"/>
              <w:ind w:left="301" w:hanging="283"/>
              <w:contextualSpacing/>
              <w:rPr>
                <w:lang w:val="es-ES"/>
              </w:rPr>
            </w:pPr>
            <w:r>
              <w:rPr>
                <w:lang w:val="es-ES"/>
              </w:rPr>
              <w:t>Juan Luis Moñino</w:t>
            </w:r>
            <w:r/>
          </w:p>
          <w:p>
            <w:pPr>
              <w:pStyle w:val="ListParagraph"/>
              <w:numPr>
                <w:ilvl w:val="0"/>
                <w:numId w:val="1"/>
              </w:numPr>
              <w:spacing w:lineRule="auto" w:line="240" w:before="0" w:after="0"/>
              <w:ind w:left="301" w:hanging="283"/>
              <w:contextualSpacing/>
              <w:rPr>
                <w:lang w:val="es-ES"/>
              </w:rPr>
            </w:pPr>
            <w:r>
              <w:rPr>
                <w:lang w:val="es-ES"/>
              </w:rPr>
              <w:t>Tina Caballero</w:t>
            </w:r>
            <w:r/>
          </w:p>
          <w:p>
            <w:pPr>
              <w:pStyle w:val="ListParagraph"/>
              <w:numPr>
                <w:ilvl w:val="0"/>
                <w:numId w:val="1"/>
              </w:numPr>
              <w:spacing w:lineRule="auto" w:line="240" w:before="0" w:after="0"/>
              <w:ind w:left="301" w:hanging="283"/>
              <w:contextualSpacing/>
              <w:rPr>
                <w:lang w:val="es-ES"/>
              </w:rPr>
            </w:pPr>
            <w:r>
              <w:rPr>
                <w:lang w:val="es-ES"/>
              </w:rPr>
              <w:t>Marga Palomares</w:t>
            </w:r>
            <w:r/>
          </w:p>
          <w:p>
            <w:pPr>
              <w:pStyle w:val="ListParagraph"/>
              <w:numPr>
                <w:ilvl w:val="0"/>
                <w:numId w:val="1"/>
              </w:numPr>
              <w:spacing w:lineRule="auto" w:line="240" w:before="0" w:after="0"/>
              <w:ind w:left="301" w:hanging="283"/>
              <w:contextualSpacing/>
              <w:rPr>
                <w:lang w:val="es-ES"/>
              </w:rPr>
            </w:pPr>
            <w:r>
              <w:rPr>
                <w:lang w:val="es-ES"/>
              </w:rPr>
              <w:t>Michele Orini</w:t>
            </w:r>
            <w:r/>
          </w:p>
        </w:tc>
      </w:tr>
    </w:tbl>
    <w:p>
      <w:pPr>
        <w:pStyle w:val="ListParagraph"/>
        <w:rPr>
          <w:lang w:val="es-ES"/>
        </w:rPr>
      </w:pPr>
      <w:r>
        <w:rPr>
          <w:lang w:val="es-ES"/>
        </w:rPr>
      </w:r>
      <w:r/>
    </w:p>
    <w:p>
      <w:pPr>
        <w:pStyle w:val="Normal"/>
        <w:rPr>
          <w:lang w:val="es-ES"/>
        </w:rPr>
      </w:pPr>
      <w:r>
        <w:rPr>
          <w:lang w:val="es-ES"/>
        </w:rPr>
        <w:t>Esta acta está redactada y revisada conjuntamente por los asistentes a esta reunión.</w:t>
      </w:r>
      <w:r/>
    </w:p>
    <w:p>
      <w:pPr>
        <w:pStyle w:val="Normal"/>
        <w:rPr>
          <w:lang w:val="es-ES"/>
        </w:rPr>
      </w:pPr>
      <w:r>
        <w:rPr>
          <w:lang w:val="es-ES"/>
        </w:rPr>
        <w:t>Esta acta contiene además los acuerdos aprobados en la reunión organizativa del pasado 27 de julio de 2014, con el fin de disponer de un único documento donde se vayan recogiendo los distintos acuerdos organizativos del Círculo.</w:t>
      </w:r>
      <w:r/>
    </w:p>
    <w:p>
      <w:pPr>
        <w:pStyle w:val="Encabezado2"/>
        <w:rPr>
          <w:sz w:val="26"/>
          <w:sz w:val="26"/>
          <w:szCs w:val="26"/>
          <w:rFonts w:ascii="Calibri Light" w:hAnsi="Calibri Light" w:eastAsia="" w:cs="" w:asciiTheme="majorHAnsi" w:cstheme="majorBidi" w:eastAsiaTheme="majorEastAsia" w:hAnsiTheme="majorHAnsi"/>
          <w:color w:val="2E74B5" w:themeColor="accent1" w:themeShade="bf"/>
          <w:lang w:val="es-ES"/>
        </w:rPr>
      </w:pPr>
      <w:r>
        <w:rPr>
          <w:lang w:val="es-ES"/>
        </w:rPr>
      </w:r>
      <w:r/>
    </w:p>
    <w:p>
      <w:pPr>
        <w:pStyle w:val="Encabezado2"/>
        <w:rPr>
          <w:lang w:val="es-ES"/>
        </w:rPr>
      </w:pPr>
      <w:bookmarkStart w:id="2" w:name="_Toc409633685"/>
      <w:bookmarkEnd w:id="2"/>
      <w:r>
        <w:rPr>
          <w:lang w:val="es-ES"/>
        </w:rPr>
        <w:t>Acrónimos</w:t>
      </w:r>
      <w:r/>
    </w:p>
    <w:p>
      <w:pPr>
        <w:pStyle w:val="Normal"/>
        <w:rPr>
          <w:lang w:val="es-ES"/>
        </w:rPr>
      </w:pPr>
      <w:r>
        <w:rPr>
          <w:lang w:val="es-ES"/>
        </w:rPr>
      </w:r>
      <w:r/>
    </w:p>
    <w:tbl>
      <w:tblPr>
        <w:tblStyle w:val="TableGrid"/>
        <w:tblW w:w="6759" w:type="dxa"/>
        <w:jc w:val="center"/>
        <w:tblInd w:w="0" w:type="dxa"/>
        <w:tblBorders/>
        <w:tblCellMar>
          <w:top w:w="0" w:type="dxa"/>
          <w:left w:w="108" w:type="dxa"/>
          <w:bottom w:w="0" w:type="dxa"/>
          <w:right w:w="108" w:type="dxa"/>
        </w:tblCellMar>
      </w:tblPr>
      <w:tblGrid>
        <w:gridCol w:w="1276"/>
        <w:gridCol w:w="5482"/>
      </w:tblGrid>
      <w:tr>
        <w:trPr/>
        <w:tc>
          <w:tcPr>
            <w:tcW w:w="1276" w:type="dxa"/>
            <w:tcBorders/>
            <w:shd w:color="auto" w:fill="F2F2F2" w:themeFill="background1" w:themeFillShade="f2" w:val="clear"/>
            <w:tcMar>
              <w:left w:w="108" w:type="dxa"/>
            </w:tcMar>
          </w:tcPr>
          <w:p>
            <w:pPr>
              <w:pStyle w:val="Normal"/>
              <w:spacing w:lineRule="auto" w:line="240" w:before="0" w:after="0"/>
              <w:rPr>
                <w:lang w:val="es-ES"/>
              </w:rPr>
            </w:pPr>
            <w:r>
              <w:rPr>
                <w:lang w:val="es-ES"/>
              </w:rPr>
              <w:t>CC</w:t>
            </w:r>
            <w:r/>
          </w:p>
        </w:tc>
        <w:tc>
          <w:tcPr>
            <w:tcW w:w="5482" w:type="dxa"/>
            <w:tcBorders/>
            <w:shd w:fill="auto" w:val="clear"/>
            <w:tcMar>
              <w:left w:w="108" w:type="dxa"/>
            </w:tcMar>
          </w:tcPr>
          <w:p>
            <w:pPr>
              <w:pStyle w:val="Normal"/>
              <w:spacing w:lineRule="auto" w:line="240" w:before="0" w:after="0"/>
              <w:rPr>
                <w:lang w:val="es-ES"/>
              </w:rPr>
            </w:pPr>
            <w:r>
              <w:rPr>
                <w:lang w:val="es-ES"/>
              </w:rPr>
              <w:t>Consejo Ciudadano</w:t>
            </w:r>
            <w:r/>
          </w:p>
        </w:tc>
      </w:tr>
      <w:tr>
        <w:trPr/>
        <w:tc>
          <w:tcPr>
            <w:tcW w:w="1276" w:type="dxa"/>
            <w:tcBorders/>
            <w:shd w:color="auto" w:fill="F2F2F2" w:themeFill="background1" w:themeFillShade="f2" w:val="clear"/>
            <w:tcMar>
              <w:left w:w="108" w:type="dxa"/>
            </w:tcMar>
          </w:tcPr>
          <w:p>
            <w:pPr>
              <w:pStyle w:val="Normal"/>
              <w:spacing w:lineRule="auto" w:line="240" w:before="0" w:after="0"/>
              <w:rPr>
                <w:lang w:val="es-ES"/>
              </w:rPr>
            </w:pPr>
            <w:r>
              <w:rPr>
                <w:lang w:val="es-ES"/>
              </w:rPr>
              <w:t>GT</w:t>
            </w:r>
            <w:r/>
          </w:p>
        </w:tc>
        <w:tc>
          <w:tcPr>
            <w:tcW w:w="5482" w:type="dxa"/>
            <w:tcBorders/>
            <w:shd w:fill="auto" w:val="clear"/>
            <w:tcMar>
              <w:left w:w="108" w:type="dxa"/>
            </w:tcMar>
          </w:tcPr>
          <w:p>
            <w:pPr>
              <w:pStyle w:val="Normal"/>
              <w:spacing w:lineRule="auto" w:line="240" w:before="0" w:after="0"/>
              <w:rPr>
                <w:lang w:val="es-ES"/>
              </w:rPr>
            </w:pPr>
            <w:r>
              <w:rPr>
                <w:lang w:val="es-ES"/>
              </w:rPr>
              <w:t>Grupo de Trabajo</w:t>
            </w:r>
            <w:r/>
          </w:p>
        </w:tc>
      </w:tr>
    </w:tbl>
    <w:p>
      <w:pPr>
        <w:pStyle w:val="Normal"/>
        <w:rPr>
          <w:b/>
          <w:b/>
          <w:szCs w:val="32"/>
          <w:rFonts w:ascii="Calibri Light" w:hAnsi="Calibri Light" w:eastAsia="" w:cs="" w:asciiTheme="majorHAnsi" w:cstheme="majorBidi" w:eastAsiaTheme="majorEastAsia" w:hAnsiTheme="majorHAnsi"/>
          <w:color w:val="7030A0"/>
          <w:lang w:val="es-ES"/>
        </w:rPr>
      </w:pPr>
      <w:r>
        <w:rPr>
          <w:rFonts w:eastAsia="" w:cs="" w:cstheme="majorBidi" w:eastAsiaTheme="majorEastAsia" w:ascii="Calibri Light" w:hAnsi="Calibri Light"/>
          <w:b/>
          <w:color w:val="7030A0"/>
          <w:szCs w:val="32"/>
          <w:lang w:val="es-ES"/>
        </w:rPr>
      </w:r>
      <w:r>
        <w:br w:type="page"/>
      </w:r>
      <w:r/>
    </w:p>
    <w:sdt>
      <w:sdtPr>
        <w:docPartObj>
          <w:docPartGallery w:val="Table of Contents"/>
          <w:docPartUnique w:val=""/>
        </w:docPartObj>
      </w:sdtPr>
      <w:sdtContent>
        <w:p>
          <w:pPr>
            <w:pStyle w:val="Encabezadodelndice"/>
            <w:rPr>
              <w:sz w:val="28"/>
              <w:b/>
              <w:sz w:val="28"/>
              <w:b/>
              <w:szCs w:val="28"/>
              <w:bCs/>
              <w:rFonts w:ascii="Calibri Light" w:hAnsi="Calibri Light" w:eastAsia="" w:cs=""/>
              <w:color w:val="2E74B5" w:themeColor="accent1" w:themeShade="bf"/>
              <w:lang w:val="en-US" w:eastAsia="ja-JP"/>
            </w:rPr>
          </w:pPr>
          <w:r>
            <w:rPr/>
            <w:t>Contents</w:t>
          </w:r>
          <w:r/>
        </w:p>
      </w:sdtContent>
    </w:sdt>
    <w:p>
      <w:pPr>
        <w:pStyle w:val="Ndice1"/>
        <w:tabs>
          <w:tab w:val="right" w:pos="9016" w:leader="dot"/>
        </w:tabs>
        <w:rPr>
          <w:rFonts w:eastAsia="" w:eastAsiaTheme="minorEastAsia"/>
          <w:lang w:val="en-US"/>
        </w:rPr>
      </w:pPr>
      <w:r>
        <w:fldChar w:fldCharType="begin"/>
      </w:r>
      <w:r>
        <w:instrText> TOC \z \o "1-3" \u \h</w:instrText>
      </w:r>
      <w:r>
        <w:fldChar w:fldCharType="separate"/>
      </w:r>
      <w:hyperlink w:anchor="_Toc409633683">
        <w:r>
          <w:rPr>
            <w:webHidden/>
            <w:rStyle w:val="Enlacedelndice"/>
            <w:lang w:val="es-ES"/>
          </w:rPr>
          <w:t>Comisión Organizativa</w:t>
        </w:r>
        <w:r>
          <w:rPr>
            <w:webHidden/>
          </w:rPr>
          <w:fldChar w:fldCharType="begin"/>
        </w:r>
        <w:r>
          <w:rPr>
            <w:webHidden/>
          </w:rPr>
          <w:instrText>PAGEREF _Toc409633683 \h</w:instrText>
        </w:r>
        <w:r>
          <w:rPr>
            <w:webHidden/>
          </w:rPr>
          <w:fldChar w:fldCharType="separate"/>
        </w:r>
        <w:r>
          <w:rPr>
            <w:rStyle w:val="Enlacedelndice"/>
            <w:vanish w:val="false"/>
          </w:rPr>
          <w:tab/>
          <w:t>1</w:t>
        </w:r>
        <w:r>
          <w:rPr>
            <w:webHidden/>
          </w:rPr>
          <w:fldChar w:fldCharType="end"/>
        </w:r>
      </w:hyperlink>
      <w:r/>
    </w:p>
    <w:p>
      <w:pPr>
        <w:pStyle w:val="Ndice2"/>
        <w:tabs>
          <w:tab w:val="right" w:pos="9016" w:leader="dot"/>
        </w:tabs>
        <w:rPr>
          <w:rFonts w:eastAsia="" w:eastAsiaTheme="minorEastAsia"/>
          <w:lang w:val="en-US"/>
        </w:rPr>
      </w:pPr>
      <w:hyperlink w:anchor="_Toc409633684">
        <w:r>
          <w:rPr>
            <w:webHidden/>
            <w:rStyle w:val="Enlacedelndice"/>
            <w:lang w:val="es-ES"/>
          </w:rPr>
          <w:t>Acta de la reunión</w:t>
        </w:r>
        <w:r>
          <w:rPr>
            <w:webHidden/>
          </w:rPr>
          <w:fldChar w:fldCharType="begin"/>
        </w:r>
        <w:r>
          <w:rPr>
            <w:webHidden/>
          </w:rPr>
          <w:instrText>PAGEREF _Toc409633684 \h</w:instrText>
        </w:r>
        <w:r>
          <w:rPr>
            <w:webHidden/>
          </w:rPr>
          <w:fldChar w:fldCharType="separate"/>
        </w:r>
        <w:r>
          <w:rPr>
            <w:rStyle w:val="Enlacedelndice"/>
            <w:vanish w:val="false"/>
          </w:rPr>
          <w:tab/>
          <w:t>1</w:t>
        </w:r>
        <w:r>
          <w:rPr>
            <w:webHidden/>
          </w:rPr>
          <w:fldChar w:fldCharType="end"/>
        </w:r>
      </w:hyperlink>
      <w:r/>
    </w:p>
    <w:p>
      <w:pPr>
        <w:pStyle w:val="Ndice2"/>
        <w:tabs>
          <w:tab w:val="right" w:pos="9016" w:leader="dot"/>
        </w:tabs>
        <w:rPr>
          <w:rFonts w:eastAsia="" w:eastAsiaTheme="minorEastAsia"/>
          <w:lang w:val="en-US"/>
        </w:rPr>
      </w:pPr>
      <w:hyperlink w:anchor="_Toc409633685">
        <w:r>
          <w:rPr>
            <w:webHidden/>
            <w:rStyle w:val="Enlacedelndice"/>
            <w:lang w:val="es-ES"/>
          </w:rPr>
          <w:t>Acrónimos</w:t>
        </w:r>
        <w:r>
          <w:rPr>
            <w:webHidden/>
          </w:rPr>
          <w:fldChar w:fldCharType="begin"/>
        </w:r>
        <w:r>
          <w:rPr>
            <w:webHidden/>
          </w:rPr>
          <w:instrText>PAGEREF _Toc409633685 \h</w:instrText>
        </w:r>
        <w:r>
          <w:rPr>
            <w:webHidden/>
          </w:rPr>
          <w:fldChar w:fldCharType="separate"/>
        </w:r>
        <w:r>
          <w:rPr>
            <w:rStyle w:val="Enlacedelndice"/>
            <w:vanish w:val="false"/>
          </w:rPr>
          <w:tab/>
          <w:t>1</w:t>
        </w:r>
        <w:r>
          <w:rPr>
            <w:webHidden/>
          </w:rPr>
          <w:fldChar w:fldCharType="end"/>
        </w:r>
      </w:hyperlink>
      <w:r/>
    </w:p>
    <w:p>
      <w:pPr>
        <w:pStyle w:val="Ndice1"/>
        <w:tabs>
          <w:tab w:val="right" w:pos="9016" w:leader="dot"/>
        </w:tabs>
        <w:rPr>
          <w:rFonts w:eastAsia="" w:eastAsiaTheme="minorEastAsia"/>
          <w:lang w:val="en-US"/>
        </w:rPr>
      </w:pPr>
      <w:hyperlink w:anchor="_Toc409633686">
        <w:r>
          <w:rPr>
            <w:webHidden/>
            <w:rStyle w:val="Enlacedelndice"/>
            <w:lang w:val="es-ES"/>
          </w:rPr>
          <w:t>Los objetivos del Círculo de Londres</w:t>
        </w:r>
        <w:r>
          <w:rPr>
            <w:webHidden/>
          </w:rPr>
          <w:fldChar w:fldCharType="begin"/>
        </w:r>
        <w:r>
          <w:rPr>
            <w:webHidden/>
          </w:rPr>
          <w:instrText>PAGEREF _Toc409633686 \h</w:instrText>
        </w:r>
        <w:r>
          <w:rPr>
            <w:webHidden/>
          </w:rPr>
          <w:fldChar w:fldCharType="separate"/>
        </w:r>
        <w:r>
          <w:rPr>
            <w:rStyle w:val="Enlacedelndice"/>
            <w:vanish w:val="false"/>
          </w:rPr>
          <w:tab/>
          <w:t>3</w:t>
        </w:r>
        <w:r>
          <w:rPr>
            <w:webHidden/>
          </w:rPr>
          <w:fldChar w:fldCharType="end"/>
        </w:r>
      </w:hyperlink>
      <w:r/>
    </w:p>
    <w:p>
      <w:pPr>
        <w:pStyle w:val="Ndice1"/>
        <w:tabs>
          <w:tab w:val="right" w:pos="9016" w:leader="dot"/>
        </w:tabs>
        <w:rPr>
          <w:rFonts w:eastAsia="" w:eastAsiaTheme="minorEastAsia"/>
          <w:lang w:val="en-US"/>
        </w:rPr>
      </w:pPr>
      <w:hyperlink w:anchor="_Toc409633687">
        <w:r>
          <w:rPr>
            <w:webHidden/>
            <w:rStyle w:val="Enlacedelndice"/>
            <w:lang w:val="es-ES"/>
          </w:rPr>
          <w:t>Los colectivos del Círculo de Londres</w:t>
        </w:r>
        <w:r>
          <w:rPr>
            <w:webHidden/>
          </w:rPr>
          <w:fldChar w:fldCharType="begin"/>
        </w:r>
        <w:r>
          <w:rPr>
            <w:webHidden/>
          </w:rPr>
          <w:instrText>PAGEREF _Toc409633687 \h</w:instrText>
        </w:r>
        <w:r>
          <w:rPr>
            <w:webHidden/>
          </w:rPr>
          <w:fldChar w:fldCharType="separate"/>
        </w:r>
        <w:r>
          <w:rPr>
            <w:rStyle w:val="Enlacedelndice"/>
            <w:vanish w:val="false"/>
          </w:rPr>
          <w:tab/>
          <w:t>4</w:t>
        </w:r>
        <w:r>
          <w:rPr>
            <w:webHidden/>
          </w:rPr>
          <w:fldChar w:fldCharType="end"/>
        </w:r>
      </w:hyperlink>
      <w:r/>
    </w:p>
    <w:p>
      <w:pPr>
        <w:pStyle w:val="Ndice1"/>
        <w:tabs>
          <w:tab w:val="right" w:pos="9016" w:leader="dot"/>
        </w:tabs>
        <w:rPr>
          <w:rFonts w:eastAsia="" w:eastAsiaTheme="minorEastAsia"/>
          <w:lang w:val="en-US"/>
        </w:rPr>
      </w:pPr>
      <w:hyperlink w:anchor="_Toc409633688">
        <w:r>
          <w:rPr>
            <w:webHidden/>
            <w:rStyle w:val="Enlacedelndice"/>
            <w:lang w:val="es-ES"/>
          </w:rPr>
          <w:t>La toma de decisiones</w:t>
        </w:r>
        <w:r>
          <w:rPr>
            <w:webHidden/>
          </w:rPr>
          <w:fldChar w:fldCharType="begin"/>
        </w:r>
        <w:r>
          <w:rPr>
            <w:webHidden/>
          </w:rPr>
          <w:instrText>PAGEREF _Toc409633688 \h</w:instrText>
        </w:r>
        <w:r>
          <w:rPr>
            <w:webHidden/>
          </w:rPr>
          <w:fldChar w:fldCharType="separate"/>
        </w:r>
        <w:r>
          <w:rPr>
            <w:rStyle w:val="Enlacedelndice"/>
            <w:vanish w:val="false"/>
          </w:rPr>
          <w:tab/>
          <w:t>5</w:t>
        </w:r>
        <w:r>
          <w:rPr>
            <w:webHidden/>
          </w:rPr>
          <w:fldChar w:fldCharType="end"/>
        </w:r>
      </w:hyperlink>
      <w:r/>
    </w:p>
    <w:p>
      <w:pPr>
        <w:pStyle w:val="Ndice1"/>
        <w:tabs>
          <w:tab w:val="right" w:pos="9016" w:leader="dot"/>
        </w:tabs>
        <w:rPr>
          <w:rFonts w:eastAsia="" w:eastAsiaTheme="minorEastAsia"/>
          <w:lang w:val="en-US"/>
        </w:rPr>
      </w:pPr>
      <w:hyperlink w:anchor="_Toc409633689">
        <w:r>
          <w:rPr>
            <w:webHidden/>
            <w:rStyle w:val="Enlacedelndice"/>
            <w:lang w:val="es-ES"/>
          </w:rPr>
          <w:t>Los Grupos de Trabajo</w:t>
        </w:r>
        <w:r>
          <w:rPr>
            <w:webHidden/>
          </w:rPr>
          <w:fldChar w:fldCharType="begin"/>
        </w:r>
        <w:r>
          <w:rPr>
            <w:webHidden/>
          </w:rPr>
          <w:instrText>PAGEREF _Toc409633689 \h</w:instrText>
        </w:r>
        <w:r>
          <w:rPr>
            <w:webHidden/>
          </w:rPr>
          <w:fldChar w:fldCharType="separate"/>
        </w:r>
        <w:r>
          <w:rPr>
            <w:rStyle w:val="Enlacedelndice"/>
            <w:vanish w:val="false"/>
          </w:rPr>
          <w:tab/>
          <w:t>7</w:t>
        </w:r>
        <w:r>
          <w:rPr>
            <w:webHidden/>
          </w:rPr>
          <w:fldChar w:fldCharType="end"/>
        </w:r>
      </w:hyperlink>
      <w:r/>
    </w:p>
    <w:p>
      <w:pPr>
        <w:pStyle w:val="Ndice1"/>
        <w:tabs>
          <w:tab w:val="right" w:pos="9016" w:leader="dot"/>
        </w:tabs>
        <w:rPr>
          <w:rFonts w:eastAsia="" w:eastAsiaTheme="minorEastAsia"/>
          <w:lang w:val="en-US"/>
        </w:rPr>
      </w:pPr>
      <w:hyperlink w:anchor="_Toc409633690">
        <w:r>
          <w:rPr>
            <w:webHidden/>
            <w:rStyle w:val="Enlacedelndice"/>
            <w:lang w:val="es-ES"/>
          </w:rPr>
          <w:t>Las herramientas</w:t>
        </w:r>
        <w:r>
          <w:rPr>
            <w:webHidden/>
          </w:rPr>
          <w:fldChar w:fldCharType="begin"/>
        </w:r>
        <w:r>
          <w:rPr>
            <w:webHidden/>
          </w:rPr>
          <w:instrText>PAGEREF _Toc409633690 \h</w:instrText>
        </w:r>
        <w:r>
          <w:rPr>
            <w:webHidden/>
          </w:rPr>
          <w:fldChar w:fldCharType="separate"/>
        </w:r>
        <w:r>
          <w:rPr>
            <w:rStyle w:val="Enlacedelndice"/>
            <w:vanish w:val="false"/>
          </w:rPr>
          <w:tab/>
          <w:t>10</w:t>
        </w:r>
        <w:r>
          <w:rPr>
            <w:webHidden/>
          </w:rPr>
          <w:fldChar w:fldCharType="end"/>
        </w:r>
      </w:hyperlink>
      <w:r/>
    </w:p>
    <w:p>
      <w:pPr>
        <w:pStyle w:val="Ndice1"/>
        <w:tabs>
          <w:tab w:val="right" w:pos="9016" w:leader="dot"/>
        </w:tabs>
        <w:rPr>
          <w:rFonts w:eastAsia="" w:eastAsiaTheme="minorEastAsia"/>
          <w:lang w:val="en-US"/>
        </w:rPr>
      </w:pPr>
      <w:hyperlink w:anchor="_Toc409633691">
        <w:r>
          <w:rPr>
            <w:webHidden/>
            <w:rStyle w:val="Enlacedelndice"/>
            <w:lang w:val="es-ES"/>
          </w:rPr>
          <w:t>La Organización de Asambleas</w:t>
        </w:r>
        <w:r>
          <w:rPr>
            <w:webHidden/>
          </w:rPr>
          <w:fldChar w:fldCharType="begin"/>
        </w:r>
        <w:r>
          <w:rPr>
            <w:webHidden/>
          </w:rPr>
          <w:instrText>PAGEREF _Toc409633691 \h</w:instrText>
        </w:r>
        <w:r>
          <w:rPr>
            <w:webHidden/>
          </w:rPr>
          <w:fldChar w:fldCharType="separate"/>
        </w:r>
        <w:r>
          <w:rPr>
            <w:rStyle w:val="Enlacedelndice"/>
            <w:vanish w:val="false"/>
          </w:rPr>
          <w:tab/>
          <w:t>11</w:t>
        </w:r>
        <w:r>
          <w:rPr>
            <w:webHidden/>
          </w:rPr>
          <w:fldChar w:fldCharType="end"/>
        </w:r>
      </w:hyperlink>
      <w:r/>
    </w:p>
    <w:p>
      <w:pPr>
        <w:pStyle w:val="Ndice1"/>
        <w:tabs>
          <w:tab w:val="right" w:pos="9016" w:leader="dot"/>
        </w:tabs>
        <w:rPr>
          <w:rFonts w:eastAsia="" w:eastAsiaTheme="minorEastAsia"/>
          <w:lang w:val="en-US"/>
        </w:rPr>
      </w:pPr>
      <w:hyperlink w:anchor="_Toc409633692">
        <w:r>
          <w:rPr>
            <w:webHidden/>
            <w:rStyle w:val="Enlacedelndice"/>
            <w:lang w:val="es-ES"/>
          </w:rPr>
          <w:t>Bienvenida a las personas nuevas</w:t>
        </w:r>
        <w:r>
          <w:rPr>
            <w:webHidden/>
          </w:rPr>
          <w:fldChar w:fldCharType="begin"/>
        </w:r>
        <w:r>
          <w:rPr>
            <w:webHidden/>
          </w:rPr>
          <w:instrText>PAGEREF _Toc409633692 \h</w:instrText>
        </w:r>
        <w:r>
          <w:rPr>
            <w:webHidden/>
          </w:rPr>
          <w:fldChar w:fldCharType="separate"/>
        </w:r>
        <w:r>
          <w:rPr>
            <w:rStyle w:val="Enlacedelndice"/>
            <w:vanish w:val="false"/>
          </w:rPr>
          <w:tab/>
          <w:t>11</w:t>
        </w:r>
        <w:r>
          <w:rPr>
            <w:webHidden/>
          </w:rPr>
          <w:fldChar w:fldCharType="end"/>
        </w:r>
      </w:hyperlink>
      <w:r/>
    </w:p>
    <w:p>
      <w:pPr>
        <w:pStyle w:val="Ndice1"/>
        <w:tabs>
          <w:tab w:val="right" w:pos="9016" w:leader="dot"/>
        </w:tabs>
        <w:rPr>
          <w:rFonts w:eastAsia="" w:eastAsiaTheme="minorEastAsia"/>
          <w:lang w:val="en-US"/>
        </w:rPr>
      </w:pPr>
      <w:hyperlink w:anchor="_Toc409633693">
        <w:r>
          <w:rPr>
            <w:webHidden/>
            <w:rStyle w:val="Enlacedelndice"/>
            <w:lang w:val="es-ES"/>
          </w:rPr>
          <w:t>Control y cumplimiento de los acuerdos organizativos</w:t>
        </w:r>
        <w:r>
          <w:rPr>
            <w:webHidden/>
          </w:rPr>
          <w:fldChar w:fldCharType="begin"/>
        </w:r>
        <w:r>
          <w:rPr>
            <w:webHidden/>
          </w:rPr>
          <w:instrText>PAGEREF _Toc409633693 \h</w:instrText>
        </w:r>
        <w:r>
          <w:rPr>
            <w:webHidden/>
          </w:rPr>
          <w:fldChar w:fldCharType="separate"/>
        </w:r>
        <w:r>
          <w:rPr>
            <w:rStyle w:val="Enlacedelndice"/>
            <w:vanish w:val="false"/>
          </w:rPr>
          <w:tab/>
          <w:t>12</w:t>
        </w:r>
        <w:r>
          <w:rPr>
            <w:webHidden/>
          </w:rPr>
          <w:fldChar w:fldCharType="end"/>
        </w:r>
      </w:hyperlink>
      <w:r/>
    </w:p>
    <w:p>
      <w:pPr>
        <w:pStyle w:val="Ndice1"/>
        <w:tabs>
          <w:tab w:val="right" w:pos="9016" w:leader="dot"/>
        </w:tabs>
        <w:rPr>
          <w:rFonts w:eastAsia="" w:eastAsiaTheme="minorEastAsia"/>
          <w:lang w:val="en-US"/>
        </w:rPr>
      </w:pPr>
      <w:hyperlink w:anchor="_Toc409633694">
        <w:r>
          <w:rPr>
            <w:webHidden/>
            <w:rStyle w:val="Enlacedelndice"/>
            <w:lang w:val="es-ES"/>
          </w:rPr>
          <w:t>Mejora y evolución de los acuerdos organizativos</w:t>
        </w:r>
        <w:r>
          <w:rPr>
            <w:webHidden/>
          </w:rPr>
          <w:fldChar w:fldCharType="begin"/>
        </w:r>
        <w:r>
          <w:rPr>
            <w:webHidden/>
          </w:rPr>
          <w:instrText>PAGEREF _Toc409633694 \h</w:instrText>
        </w:r>
        <w:r>
          <w:rPr>
            <w:webHidden/>
          </w:rPr>
          <w:fldChar w:fldCharType="separate"/>
        </w:r>
        <w:r>
          <w:rPr>
            <w:rStyle w:val="Enlacedelndice"/>
            <w:vanish w:val="false"/>
          </w:rPr>
          <w:tab/>
          <w:t>12</w:t>
        </w:r>
        <w:r>
          <w:rPr>
            <w:webHidden/>
          </w:rPr>
          <w:fldChar w:fldCharType="end"/>
        </w:r>
      </w:hyperlink>
      <w:r/>
    </w:p>
    <w:p>
      <w:pPr>
        <w:pStyle w:val="Normal"/>
      </w:pPr>
      <w:r>
        <w:rPr/>
      </w:r>
      <w:r>
        <w:fldChar w:fldCharType="end"/>
      </w:r>
      <w:r/>
    </w:p>
    <w:p>
      <w:pPr>
        <w:pStyle w:val="Normal"/>
        <w:rPr>
          <w:lang w:val="es-ES"/>
        </w:rPr>
      </w:pPr>
      <w:r>
        <w:rPr>
          <w:lang w:val="es-ES"/>
        </w:rPr>
      </w:r>
      <w:r/>
    </w:p>
    <w:p>
      <w:pPr>
        <w:pStyle w:val="Normal"/>
        <w:rPr>
          <w:sz w:val="24"/>
          <w:b/>
          <w:sz w:val="24"/>
          <w:b/>
          <w:szCs w:val="32"/>
          <w:rFonts w:ascii="Calibri Light" w:hAnsi="Calibri Light" w:eastAsia="" w:cs="" w:asciiTheme="majorHAnsi" w:cstheme="majorBidi" w:eastAsiaTheme="majorEastAsia" w:hAnsiTheme="majorHAnsi"/>
          <w:color w:val="7030A0"/>
          <w:lang w:val="es-ES"/>
        </w:rPr>
      </w:pPr>
      <w:r>
        <w:rPr>
          <w:rFonts w:eastAsia="" w:cs="" w:cstheme="majorBidi" w:eastAsiaTheme="majorEastAsia" w:ascii="Calibri Light" w:hAnsi="Calibri Light"/>
          <w:b/>
          <w:color w:val="7030A0"/>
          <w:sz w:val="24"/>
          <w:szCs w:val="32"/>
          <w:lang w:val="es-ES"/>
        </w:rPr>
      </w:r>
      <w:r>
        <w:br w:type="page"/>
      </w:r>
      <w:r/>
    </w:p>
    <w:p>
      <w:pPr>
        <w:pStyle w:val="Encabezado1"/>
        <w:rPr>
          <w:sz w:val="24"/>
          <w:sz w:val="24"/>
          <w:lang w:val="es-ES"/>
        </w:rPr>
      </w:pPr>
      <w:bookmarkStart w:id="3" w:name="_Toc409633686"/>
      <w:r>
        <w:rPr>
          <w:sz w:val="24"/>
          <w:lang w:val="es-ES"/>
        </w:rPr>
        <w:t>Los objetivos del Círculo de Londres</w:t>
      </w:r>
      <w:bookmarkEnd w:id="3"/>
      <w:r>
        <w:rPr>
          <w:rStyle w:val="Ancladenotaalpie"/>
          <w:sz w:val="24"/>
          <w:lang w:val="es-ES"/>
        </w:rPr>
        <w:footnoteReference w:id="2"/>
      </w:r>
      <w:r/>
    </w:p>
    <w:p>
      <w:pPr>
        <w:pStyle w:val="Normal"/>
        <w:rPr>
          <w:lang w:val="es-ES"/>
        </w:rPr>
      </w:pPr>
      <w:r>
        <w:rPr>
          <w:lang w:val="es-ES"/>
        </w:rPr>
        <w:t>El objetivo general del Círculo es cambiar la realidad social y política de la sociedad mediante el empoderamiento de las bases, creando conciencia social y promoviendo el pensamiento político y crítico. Para ello se han identificado los siguientes objetivos específicos:</w:t>
      </w:r>
      <w:r/>
    </w:p>
    <w:p>
      <w:pPr>
        <w:pStyle w:val="ListParagraph"/>
        <w:numPr>
          <w:ilvl w:val="0"/>
          <w:numId w:val="4"/>
        </w:numPr>
        <w:rPr>
          <w:lang w:val="es-ES"/>
        </w:rPr>
      </w:pPr>
      <w:r>
        <w:rPr>
          <w:lang w:val="es-ES"/>
        </w:rPr>
        <w:t>Colaboración con los círculos de Podemos de España e internacionales.</w:t>
      </w:r>
      <w:r/>
    </w:p>
    <w:p>
      <w:pPr>
        <w:pStyle w:val="ListParagraph"/>
        <w:numPr>
          <w:ilvl w:val="0"/>
          <w:numId w:val="4"/>
        </w:numPr>
        <w:rPr>
          <w:lang w:val="es-ES"/>
        </w:rPr>
      </w:pPr>
      <w:r>
        <w:rPr>
          <w:lang w:val="es-ES"/>
        </w:rPr>
        <w:t>Participación en el proceso constituyente de Podemos</w:t>
      </w:r>
      <w:r/>
    </w:p>
    <w:p>
      <w:pPr>
        <w:pStyle w:val="ListParagraph"/>
        <w:numPr>
          <w:ilvl w:val="0"/>
          <w:numId w:val="4"/>
        </w:numPr>
        <w:rPr>
          <w:lang w:val="es-ES"/>
        </w:rPr>
      </w:pPr>
      <w:r>
        <w:rPr>
          <w:lang w:val="es-ES"/>
        </w:rPr>
        <w:t>Difusión de información e ideología de Podemos</w:t>
      </w:r>
      <w:r/>
    </w:p>
    <w:p>
      <w:pPr>
        <w:pStyle w:val="ListParagraph"/>
        <w:numPr>
          <w:ilvl w:val="0"/>
          <w:numId w:val="4"/>
        </w:numPr>
        <w:rPr>
          <w:lang w:val="es-ES"/>
        </w:rPr>
      </w:pPr>
      <w:r>
        <w:rPr>
          <w:lang w:val="es-ES"/>
        </w:rPr>
        <w:t>Colaboración con otros colectivos sociales/políticos con base en UK</w:t>
      </w:r>
      <w:r/>
    </w:p>
    <w:p>
      <w:pPr>
        <w:pStyle w:val="ListParagraph"/>
        <w:numPr>
          <w:ilvl w:val="0"/>
          <w:numId w:val="4"/>
        </w:numPr>
        <w:rPr>
          <w:lang w:val="es-ES"/>
        </w:rPr>
      </w:pPr>
      <w:r>
        <w:rPr>
          <w:lang w:val="es-ES"/>
        </w:rPr>
        <w:t>Lucha activa mediante la participación en manifestaciones y eventos de naturaleza social y política</w:t>
      </w:r>
      <w:r/>
    </w:p>
    <w:p>
      <w:pPr>
        <w:pStyle w:val="ListParagraph"/>
        <w:numPr>
          <w:ilvl w:val="0"/>
          <w:numId w:val="4"/>
        </w:numPr>
        <w:rPr>
          <w:lang w:val="es-ES"/>
        </w:rPr>
      </w:pPr>
      <w:r>
        <w:rPr>
          <w:lang w:val="es-ES"/>
        </w:rPr>
        <w:t>Realización de eventos como medio de difusión de Podemos</w:t>
      </w:r>
      <w:r/>
    </w:p>
    <w:p>
      <w:pPr>
        <w:pStyle w:val="ListParagraph"/>
        <w:numPr>
          <w:ilvl w:val="0"/>
          <w:numId w:val="4"/>
        </w:numPr>
        <w:rPr>
          <w:lang w:val="es-ES"/>
        </w:rPr>
      </w:pPr>
      <w:r>
        <w:rPr>
          <w:lang w:val="es-ES"/>
        </w:rPr>
        <w:t>Realización de actividades para socializar y recaudar fondos</w:t>
      </w:r>
      <w:r/>
    </w:p>
    <w:p>
      <w:pPr>
        <w:pStyle w:val="ListParagraph"/>
        <w:numPr>
          <w:ilvl w:val="0"/>
          <w:numId w:val="4"/>
        </w:numPr>
        <w:rPr>
          <w:lang w:val="es-ES"/>
        </w:rPr>
      </w:pPr>
      <w:r>
        <w:rPr>
          <w:lang w:val="es-ES"/>
        </w:rPr>
        <w:t>Organización de talleres de formación</w:t>
      </w:r>
      <w:r/>
    </w:p>
    <w:p>
      <w:pPr>
        <w:pStyle w:val="Normal"/>
        <w:rPr>
          <w:sz w:val="24"/>
          <w:b/>
          <w:sz w:val="24"/>
          <w:b/>
          <w:szCs w:val="32"/>
          <w:rFonts w:ascii="Calibri Light" w:hAnsi="Calibri Light" w:eastAsia="" w:cs="" w:asciiTheme="majorHAnsi" w:cstheme="majorBidi" w:eastAsiaTheme="majorEastAsia" w:hAnsiTheme="majorHAnsi"/>
          <w:color w:val="7030A0"/>
          <w:lang w:val="es-ES"/>
        </w:rPr>
      </w:pPr>
      <w:r>
        <w:rPr>
          <w:rFonts w:eastAsia="" w:cs="" w:cstheme="majorBidi" w:eastAsiaTheme="majorEastAsia" w:ascii="Calibri Light" w:hAnsi="Calibri Light"/>
          <w:b/>
          <w:color w:val="7030A0"/>
          <w:sz w:val="24"/>
          <w:szCs w:val="32"/>
          <w:lang w:val="es-ES"/>
        </w:rPr>
      </w:r>
      <w:r>
        <w:br w:type="page"/>
      </w:r>
      <w:r/>
    </w:p>
    <w:p>
      <w:pPr>
        <w:pStyle w:val="Encabezado1"/>
        <w:rPr>
          <w:sz w:val="24"/>
          <w:sz w:val="24"/>
          <w:lang w:val="es-ES"/>
        </w:rPr>
      </w:pPr>
      <w:bookmarkStart w:id="4" w:name="_Toc409633687"/>
      <w:bookmarkEnd w:id="4"/>
      <w:r>
        <w:rPr>
          <w:sz w:val="24"/>
          <w:lang w:val="es-ES"/>
        </w:rPr>
        <w:t>Los colectivos del Círculo de Londres</w:t>
      </w:r>
      <w:r/>
    </w:p>
    <w:p>
      <w:pPr>
        <w:pStyle w:val="Normal"/>
        <w:rPr>
          <w:lang w:val="es-ES"/>
        </w:rPr>
      </w:pPr>
      <w:r>
        <w:rPr>
          <w:lang w:val="es-ES"/>
        </w:rPr>
        <w:t xml:space="preserve">Se identifican </w:t>
      </w:r>
      <w:r>
        <w:rPr>
          <w:b/>
          <w:lang w:val="es-ES"/>
        </w:rPr>
        <w:t>tres colectivos</w:t>
      </w:r>
      <w:r>
        <w:rPr>
          <w:lang w:val="es-ES"/>
        </w:rPr>
        <w:t xml:space="preserve"> dentro del Círculo de Londres, en función de su grado de implicación en las actividades del Círculo, a efectos tanto organizativos como de toma de decisión:</w:t>
      </w:r>
      <w:r/>
    </w:p>
    <w:p>
      <w:pPr>
        <w:pStyle w:val="Normal"/>
        <w:jc w:val="center"/>
        <w:rPr>
          <w:lang w:val="es-ES"/>
        </w:rPr>
      </w:pPr>
      <w:bookmarkStart w:id="5" w:name="_GoBack"/>
      <w:bookmarkEnd w:id="5"/>
      <w:r>
        <w:rPr/>
        <w:drawing>
          <wp:inline distT="0" distB="0" distL="0" distR="0">
            <wp:extent cx="5175885" cy="5175885"/>
            <wp:effectExtent l="0" t="0" r="0" b="0"/>
            <wp:docPr id="1" name="Picture"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descr=""/>
                    <pic:cNvPicPr>
                      <a:picLocks noChangeAspect="1" noChangeArrowheads="1"/>
                    </pic:cNvPicPr>
                  </pic:nvPicPr>
                  <pic:blipFill>
                    <a:blip r:embed="rId2"/>
                    <a:stretch>
                      <a:fillRect/>
                    </a:stretch>
                  </pic:blipFill>
                  <pic:spPr bwMode="auto">
                    <a:xfrm>
                      <a:off x="0" y="0"/>
                      <a:ext cx="5175885" cy="5175885"/>
                    </a:xfrm>
                    <a:prstGeom prst="rect">
                      <a:avLst/>
                    </a:prstGeom>
                    <a:noFill/>
                    <a:ln w="9525">
                      <a:noFill/>
                      <a:miter lim="800000"/>
                      <a:headEnd/>
                      <a:tailEnd/>
                    </a:ln>
                  </pic:spPr>
                </pic:pic>
              </a:graphicData>
            </a:graphic>
          </wp:inline>
        </w:drawing>
      </w:r>
      <w:r/>
    </w:p>
    <w:p>
      <w:pPr>
        <w:pStyle w:val="ListParagraph"/>
        <w:numPr>
          <w:ilvl w:val="0"/>
          <w:numId w:val="3"/>
        </w:numPr>
        <w:rPr>
          <w:lang w:val="es-ES"/>
        </w:rPr>
      </w:pPr>
      <w:r>
        <w:rPr>
          <w:b/>
          <w:color w:val="990033"/>
          <w:lang w:val="es-ES"/>
        </w:rPr>
        <w:t>Colectivo</w:t>
      </w:r>
      <w:r>
        <w:rPr>
          <w:color w:val="990033"/>
          <w:lang w:val="es-ES"/>
        </w:rPr>
        <w:t xml:space="preserve"> </w:t>
      </w:r>
      <w:r>
        <w:rPr>
          <w:b/>
          <w:color w:val="990033"/>
          <w:lang w:val="es-ES"/>
        </w:rPr>
        <w:t>1</w:t>
      </w:r>
      <w:r>
        <w:rPr>
          <w:lang w:val="es-ES"/>
        </w:rPr>
        <w:t xml:space="preserve">: La </w:t>
      </w:r>
      <w:r>
        <w:rPr>
          <w:b/>
          <w:lang w:val="es-ES"/>
        </w:rPr>
        <w:t>Asamblea</w:t>
      </w:r>
      <w:r>
        <w:rPr>
          <w:lang w:val="es-ES"/>
        </w:rPr>
        <w:t xml:space="preserve"> </w:t>
      </w:r>
      <w:r>
        <w:rPr>
          <w:b/>
          <w:lang w:val="es-ES"/>
        </w:rPr>
        <w:t>Ciudadana</w:t>
      </w:r>
      <w:r>
        <w:rPr>
          <w:lang w:val="es-ES"/>
        </w:rPr>
        <w:t xml:space="preserve"> del Círculo</w:t>
      </w:r>
      <w:r/>
    </w:p>
    <w:p>
      <w:pPr>
        <w:pStyle w:val="ListParagraph"/>
        <w:numPr>
          <w:ilvl w:val="1"/>
          <w:numId w:val="5"/>
        </w:numPr>
        <w:rPr>
          <w:lang w:val="es-ES"/>
        </w:rPr>
      </w:pPr>
      <w:r>
        <w:rPr>
          <w:lang w:val="es-ES"/>
        </w:rPr>
        <w:t>Está formada por todos los miembros del Círculo de Londres</w:t>
      </w:r>
      <w:r/>
    </w:p>
    <w:p>
      <w:pPr>
        <w:pStyle w:val="ListParagraph"/>
        <w:numPr>
          <w:ilvl w:val="0"/>
          <w:numId w:val="3"/>
        </w:numPr>
        <w:rPr>
          <w:lang w:val="es-ES"/>
        </w:rPr>
      </w:pPr>
      <w:r>
        <w:rPr>
          <w:b/>
          <w:color w:val="990033"/>
          <w:lang w:val="es-ES"/>
        </w:rPr>
        <w:t>Colectivo 2:</w:t>
      </w:r>
      <w:r>
        <w:rPr>
          <w:lang w:val="es-ES"/>
        </w:rPr>
        <w:t xml:space="preserve"> Los </w:t>
      </w:r>
      <w:r>
        <w:rPr>
          <w:b/>
          <w:lang w:val="es-ES"/>
        </w:rPr>
        <w:t>miembros de los GT</w:t>
      </w:r>
      <w:r>
        <w:rPr>
          <w:lang w:val="es-ES"/>
        </w:rPr>
        <w:t xml:space="preserve"> y otros </w:t>
      </w:r>
      <w:r>
        <w:rPr>
          <w:b/>
          <w:lang w:val="es-ES"/>
        </w:rPr>
        <w:t>colaboradores</w:t>
      </w:r>
      <w:r>
        <w:rPr>
          <w:lang w:val="es-ES"/>
        </w:rPr>
        <w:t xml:space="preserve"> del Círculo</w:t>
      </w:r>
      <w:r/>
    </w:p>
    <w:p>
      <w:pPr>
        <w:pStyle w:val="ListParagraph"/>
        <w:numPr>
          <w:ilvl w:val="1"/>
          <w:numId w:val="5"/>
        </w:numPr>
        <w:rPr>
          <w:lang w:val="es-ES"/>
        </w:rPr>
      </w:pPr>
      <w:r>
        <w:rPr>
          <w:lang w:val="es-ES"/>
        </w:rPr>
        <w:t>Está formado por todos los miembros de los GT y personas que, sin pertenecer a ningún GT específico, se prestan voluntarias para participar en distintas tareas afines a sus competencias o intereses</w:t>
      </w:r>
      <w:r/>
    </w:p>
    <w:p>
      <w:pPr>
        <w:pStyle w:val="ListParagraph"/>
        <w:numPr>
          <w:ilvl w:val="1"/>
          <w:numId w:val="5"/>
        </w:numPr>
        <w:rPr>
          <w:lang w:val="es-ES"/>
        </w:rPr>
      </w:pPr>
      <w:r>
        <w:rPr>
          <w:lang w:val="es-ES"/>
        </w:rPr>
        <w:t>Este colectivo será mencionado en lo sucesivo como “miembros de los GT”</w:t>
      </w:r>
      <w:r/>
    </w:p>
    <w:p>
      <w:pPr>
        <w:pStyle w:val="ListParagraph"/>
        <w:numPr>
          <w:ilvl w:val="1"/>
          <w:numId w:val="5"/>
        </w:numPr>
        <w:rPr>
          <w:lang w:val="es-ES"/>
        </w:rPr>
      </w:pPr>
      <w:r>
        <w:rPr>
          <w:lang w:val="es-ES"/>
        </w:rPr>
        <w:t>Es parte de colectivo 1</w:t>
      </w:r>
      <w:r/>
    </w:p>
    <w:p>
      <w:pPr>
        <w:pStyle w:val="ListParagraph"/>
        <w:numPr>
          <w:ilvl w:val="0"/>
          <w:numId w:val="3"/>
        </w:numPr>
        <w:rPr>
          <w:lang w:val="es-ES"/>
        </w:rPr>
      </w:pPr>
      <w:r>
        <w:rPr>
          <w:b/>
          <w:color w:val="990033"/>
          <w:lang w:val="es-ES"/>
        </w:rPr>
        <w:t>Colectivo 3:</w:t>
      </w:r>
      <w:r>
        <w:rPr>
          <w:lang w:val="es-ES"/>
        </w:rPr>
        <w:t xml:space="preserve"> La </w:t>
      </w:r>
      <w:r>
        <w:rPr>
          <w:b/>
          <w:lang w:val="es-ES"/>
        </w:rPr>
        <w:t>Coordinadora</w:t>
      </w:r>
      <w:r>
        <w:rPr>
          <w:lang w:val="es-ES"/>
        </w:rPr>
        <w:t xml:space="preserve"> del Círculo</w:t>
      </w:r>
      <w:r/>
    </w:p>
    <w:p>
      <w:pPr>
        <w:pStyle w:val="ListParagraph"/>
        <w:numPr>
          <w:ilvl w:val="1"/>
          <w:numId w:val="5"/>
        </w:numPr>
        <w:rPr>
          <w:lang w:val="es-ES"/>
        </w:rPr>
      </w:pPr>
      <w:r>
        <w:rPr>
          <w:lang w:val="es-ES"/>
        </w:rPr>
        <w:t>Está formada por los Coordinadores de los GT del Círculo</w:t>
      </w:r>
      <w:r/>
    </w:p>
    <w:p>
      <w:pPr>
        <w:pStyle w:val="ListParagraph"/>
        <w:numPr>
          <w:ilvl w:val="1"/>
          <w:numId w:val="5"/>
        </w:numPr>
        <w:rPr>
          <w:lang w:val="es-ES"/>
        </w:rPr>
      </w:pPr>
      <w:r>
        <w:rPr>
          <w:lang w:val="es-ES"/>
        </w:rPr>
        <w:t>Cada GT designará entre una y tres personas como Coordinador, dependiendo de sus necesidades, y según lo decida cada GT específico</w:t>
      </w:r>
      <w:r/>
    </w:p>
    <w:p>
      <w:pPr>
        <w:pStyle w:val="ListParagraph"/>
        <w:numPr>
          <w:ilvl w:val="1"/>
          <w:numId w:val="5"/>
        </w:numPr>
        <w:rPr>
          <w:lang w:val="es-ES"/>
        </w:rPr>
      </w:pPr>
      <w:r>
        <w:rPr>
          <w:lang w:val="es-ES"/>
        </w:rPr>
        <w:t>Es parte del colectivo 2</w:t>
      </w:r>
      <w:r/>
    </w:p>
    <w:p>
      <w:pPr>
        <w:pStyle w:val="Normal"/>
        <w:rPr>
          <w:sz w:val="24"/>
          <w:b/>
          <w:sz w:val="24"/>
          <w:b/>
          <w:szCs w:val="32"/>
          <w:rFonts w:ascii="Calibri Light" w:hAnsi="Calibri Light" w:eastAsia="" w:cs="" w:asciiTheme="majorHAnsi" w:cstheme="majorBidi" w:eastAsiaTheme="majorEastAsia" w:hAnsiTheme="majorHAnsi"/>
          <w:color w:val="7030A0"/>
          <w:lang w:val="es-ES"/>
        </w:rPr>
      </w:pPr>
      <w:r>
        <w:rPr>
          <w:rFonts w:eastAsia="" w:cs="" w:cstheme="majorBidi" w:eastAsiaTheme="majorEastAsia" w:ascii="Calibri Light" w:hAnsi="Calibri Light"/>
          <w:b/>
          <w:color w:val="7030A0"/>
          <w:sz w:val="24"/>
          <w:szCs w:val="32"/>
          <w:lang w:val="es-ES"/>
        </w:rPr>
      </w:r>
      <w:r>
        <w:br w:type="page"/>
      </w:r>
      <w:r/>
    </w:p>
    <w:p>
      <w:pPr>
        <w:pStyle w:val="Encabezado1"/>
        <w:rPr>
          <w:sz w:val="24"/>
          <w:sz w:val="24"/>
          <w:lang w:val="es-ES"/>
        </w:rPr>
      </w:pPr>
      <w:bookmarkStart w:id="6" w:name="_Toc409633688"/>
      <w:bookmarkEnd w:id="6"/>
      <w:r>
        <w:rPr>
          <w:sz w:val="24"/>
          <w:lang w:val="es-ES"/>
        </w:rPr>
        <w:t>La toma de decisiones</w:t>
      </w:r>
      <w:r/>
    </w:p>
    <w:p>
      <w:pPr>
        <w:pStyle w:val="Encabezado4"/>
        <w:rPr>
          <w:lang w:val="es-ES"/>
        </w:rPr>
      </w:pPr>
      <w:r>
        <w:rPr>
          <w:lang w:val="es-ES"/>
        </w:rPr>
        <w:t>El origen de los temas para debate y decisión</w:t>
      </w:r>
      <w:r>
        <w:rPr>
          <w:rStyle w:val="Ancladenotaalpie"/>
          <w:lang w:val="es-ES"/>
        </w:rPr>
        <w:footnoteReference w:id="3"/>
      </w:r>
      <w:r/>
    </w:p>
    <w:p>
      <w:pPr>
        <w:pStyle w:val="Normal"/>
        <w:rPr>
          <w:lang w:val="es-ES"/>
        </w:rPr>
      </w:pPr>
      <w:r>
        <w:rPr>
          <w:lang w:val="es-ES"/>
        </w:rPr>
        <w:t>Cualquier miembro del Círculo, independientemente del colectivo al que pertenezca, puede sugerir un asunto para el debate o decisión siempre que se cumplan las tres condiciones:</w:t>
      </w:r>
      <w:r/>
    </w:p>
    <w:p>
      <w:pPr>
        <w:pStyle w:val="ListParagraph"/>
        <w:numPr>
          <w:ilvl w:val="0"/>
          <w:numId w:val="3"/>
        </w:numPr>
        <w:rPr>
          <w:lang w:val="es-ES"/>
        </w:rPr>
      </w:pPr>
      <w:r>
        <w:rPr>
          <w:lang w:val="es-ES"/>
        </w:rPr>
        <w:t>está debidamente presentado y argumentado</w:t>
      </w:r>
      <w:r/>
    </w:p>
    <w:p>
      <w:pPr>
        <w:pStyle w:val="ListParagraph"/>
        <w:numPr>
          <w:ilvl w:val="0"/>
          <w:numId w:val="3"/>
        </w:numPr>
        <w:rPr>
          <w:lang w:val="es-ES"/>
        </w:rPr>
      </w:pPr>
      <w:r>
        <w:rPr>
          <w:lang w:val="es-ES"/>
        </w:rPr>
        <w:t>se encuentra enmarcado dentro de los objetivos del Círculo</w:t>
      </w:r>
      <w:r/>
    </w:p>
    <w:p>
      <w:pPr>
        <w:pStyle w:val="ListParagraph"/>
        <w:numPr>
          <w:ilvl w:val="0"/>
          <w:numId w:val="3"/>
        </w:numPr>
        <w:rPr>
          <w:lang w:val="es-ES"/>
        </w:rPr>
      </w:pPr>
      <w:r>
        <w:rPr>
          <w:lang w:val="es-ES"/>
        </w:rPr>
        <w:t>cumple con los Principios Éticos de Podemos</w:t>
      </w:r>
      <w:r/>
    </w:p>
    <w:p>
      <w:pPr>
        <w:pStyle w:val="Normal"/>
        <w:rPr>
          <w:lang w:val="es-ES"/>
        </w:rPr>
      </w:pPr>
      <w:r>
        <w:rPr>
          <w:lang w:val="es-ES"/>
        </w:rPr>
        <w:t>El asunto deberá ser trasladado al GT relevante (por ejemplo el GT de organización de asamblea podrá proponer cambiar la fecha de la asamblea o la frecuencia de estas). Si no se pertenece al GT en cuestión, habrá que pasarle la petición al grupo que corresponda para que ese grupo valore si es factible el hacer esa pregunta/propuesta o pueda responder/debatir adecuadamente el por qué no es factible (o si ya se ha hecho anteriormente, etc.).</w:t>
      </w:r>
      <w:r/>
    </w:p>
    <w:p>
      <w:pPr>
        <w:pStyle w:val="Normal"/>
        <w:rPr>
          <w:lang w:val="es-ES"/>
        </w:rPr>
      </w:pPr>
      <w:r>
        <w:rPr>
          <w:lang w:val="es-ES"/>
        </w:rPr>
        <w:t>Si no se sabe a qué grupo de trabajo corresponde la materia en cuestión se enviará al GT de coordinación de grupos de trabajo que pasará esta petición al grupo o grupos que corresponda.</w:t>
      </w:r>
      <w:r/>
    </w:p>
    <w:p>
      <w:pPr>
        <w:pStyle w:val="Encabezado4"/>
        <w:rPr>
          <w:lang w:val="es-ES"/>
        </w:rPr>
      </w:pPr>
      <w:r>
        <w:rPr>
          <w:lang w:val="es-ES"/>
        </w:rPr>
        <w:t>Los ámbitos en la toma de decisión</w:t>
      </w:r>
      <w:r/>
    </w:p>
    <w:p>
      <w:pPr>
        <w:pStyle w:val="Normal"/>
        <w:rPr>
          <w:lang w:val="es-ES"/>
        </w:rPr>
      </w:pPr>
      <w:r>
        <w:rPr>
          <w:lang w:val="es-ES"/>
        </w:rPr>
        <w:t>Las decisiones que se tomen en el Círculo deberán tomarse en al ámbito correspondiente a la relevancia que tengan para el Círculo.</w:t>
      </w:r>
      <w:r/>
    </w:p>
    <w:p>
      <w:pPr>
        <w:pStyle w:val="ListParagraph"/>
        <w:numPr>
          <w:ilvl w:val="0"/>
          <w:numId w:val="2"/>
        </w:numPr>
        <w:rPr>
          <w:lang w:val="es-ES"/>
        </w:rPr>
      </w:pPr>
      <w:r>
        <w:rPr>
          <w:b/>
          <w:lang w:val="es-ES"/>
        </w:rPr>
        <w:t>Ámbito 1</w:t>
      </w:r>
      <w:r>
        <w:rPr>
          <w:lang w:val="es-ES"/>
        </w:rPr>
        <w:t xml:space="preserve"> - Decisiones que son relevantes en el ámbito del colectivo 1 (la </w:t>
      </w:r>
      <w:r>
        <w:rPr>
          <w:b/>
          <w:lang w:val="es-ES"/>
        </w:rPr>
        <w:t>Asamblea Ciudadana</w:t>
      </w:r>
      <w:r>
        <w:rPr>
          <w:lang w:val="es-ES"/>
        </w:rPr>
        <w:t xml:space="preserve"> del Círculo de Londres)</w:t>
      </w:r>
      <w:r/>
    </w:p>
    <w:p>
      <w:pPr>
        <w:pStyle w:val="ListParagraph"/>
        <w:numPr>
          <w:ilvl w:val="1"/>
          <w:numId w:val="2"/>
        </w:numPr>
        <w:rPr>
          <w:lang w:val="es-ES"/>
        </w:rPr>
      </w:pPr>
      <w:r>
        <w:rPr>
          <w:lang w:val="es-ES"/>
        </w:rPr>
        <w:t>Ejemplos:</w:t>
      </w:r>
      <w:r/>
    </w:p>
    <w:p>
      <w:pPr>
        <w:pStyle w:val="ListParagraph"/>
        <w:numPr>
          <w:ilvl w:val="2"/>
          <w:numId w:val="2"/>
        </w:numPr>
        <w:rPr>
          <w:lang w:val="es-ES"/>
        </w:rPr>
      </w:pPr>
      <w:r>
        <w:rPr>
          <w:lang w:val="es-ES"/>
        </w:rPr>
        <w:t>Presentación de avales para candidatos a representante de Podemos Exterior en el CC.</w:t>
      </w:r>
      <w:r/>
    </w:p>
    <w:p>
      <w:pPr>
        <w:pStyle w:val="ListParagraph"/>
        <w:numPr>
          <w:ilvl w:val="2"/>
          <w:numId w:val="2"/>
        </w:numPr>
        <w:rPr>
          <w:lang w:val="es-ES"/>
        </w:rPr>
      </w:pPr>
      <w:r>
        <w:rPr>
          <w:lang w:val="es-ES"/>
        </w:rPr>
        <w:t>Votar la iniciativa de formar un nuevo GT</w:t>
      </w:r>
      <w:r/>
    </w:p>
    <w:p>
      <w:pPr>
        <w:pStyle w:val="ListParagraph"/>
        <w:numPr>
          <w:ilvl w:val="0"/>
          <w:numId w:val="2"/>
        </w:numPr>
        <w:rPr>
          <w:lang w:val="es-ES"/>
        </w:rPr>
      </w:pPr>
      <w:r>
        <w:rPr>
          <w:b/>
          <w:lang w:val="es-ES"/>
        </w:rPr>
        <w:t>Ámbito 2</w:t>
      </w:r>
      <w:r>
        <w:rPr>
          <w:lang w:val="es-ES"/>
        </w:rPr>
        <w:t xml:space="preserve"> - Decisiones que son relevantes en el ámbito del colectivo 2 (los </w:t>
      </w:r>
      <w:r>
        <w:rPr>
          <w:b/>
          <w:lang w:val="es-ES"/>
        </w:rPr>
        <w:t>miembros de los GT y otros colaboradores</w:t>
      </w:r>
      <w:r>
        <w:rPr>
          <w:lang w:val="es-ES"/>
        </w:rPr>
        <w:t>)</w:t>
      </w:r>
      <w:r/>
    </w:p>
    <w:p>
      <w:pPr>
        <w:pStyle w:val="ListParagraph"/>
        <w:numPr>
          <w:ilvl w:val="1"/>
          <w:numId w:val="2"/>
        </w:numPr>
        <w:rPr>
          <w:lang w:val="es-ES"/>
        </w:rPr>
      </w:pPr>
      <w:r>
        <w:rPr>
          <w:lang w:val="es-ES"/>
        </w:rPr>
        <w:t>Ejemplos:</w:t>
      </w:r>
      <w:r/>
    </w:p>
    <w:p>
      <w:pPr>
        <w:pStyle w:val="ListParagraph"/>
        <w:numPr>
          <w:ilvl w:val="2"/>
          <w:numId w:val="2"/>
        </w:numPr>
        <w:rPr>
          <w:lang w:val="es-ES"/>
        </w:rPr>
      </w:pPr>
      <w:r>
        <w:rPr>
          <w:lang w:val="es-ES"/>
        </w:rPr>
        <w:t>Votar la iniciativa de organizar un Cine Fórum</w:t>
      </w:r>
      <w:r/>
    </w:p>
    <w:p>
      <w:pPr>
        <w:pStyle w:val="ListParagraph"/>
        <w:numPr>
          <w:ilvl w:val="2"/>
          <w:numId w:val="2"/>
        </w:numPr>
        <w:rPr>
          <w:lang w:val="es-ES"/>
        </w:rPr>
      </w:pPr>
      <w:r>
        <w:rPr>
          <w:lang w:val="es-ES"/>
        </w:rPr>
        <w:t>Decidir sobre aspectos de imagen pública</w:t>
      </w:r>
      <w:r/>
    </w:p>
    <w:p>
      <w:pPr>
        <w:pStyle w:val="ListParagraph"/>
        <w:numPr>
          <w:ilvl w:val="0"/>
          <w:numId w:val="2"/>
        </w:numPr>
        <w:rPr>
          <w:lang w:val="es-ES"/>
        </w:rPr>
      </w:pPr>
      <w:r>
        <w:rPr>
          <w:b/>
          <w:lang w:val="es-ES"/>
        </w:rPr>
        <w:t>Ámbito 3</w:t>
      </w:r>
      <w:r>
        <w:rPr>
          <w:lang w:val="es-ES"/>
        </w:rPr>
        <w:t xml:space="preserve"> - Decisiones que son relevantes en el ámbito del colectivo 3 (la </w:t>
      </w:r>
      <w:r>
        <w:rPr>
          <w:b/>
          <w:lang w:val="es-ES"/>
        </w:rPr>
        <w:t>Coordinadora</w:t>
      </w:r>
      <w:r>
        <w:rPr>
          <w:lang w:val="es-ES"/>
        </w:rPr>
        <w:t xml:space="preserve"> del Círculo)</w:t>
      </w:r>
      <w:r/>
    </w:p>
    <w:p>
      <w:pPr>
        <w:pStyle w:val="ListParagraph"/>
        <w:numPr>
          <w:ilvl w:val="1"/>
          <w:numId w:val="2"/>
        </w:numPr>
        <w:rPr>
          <w:lang w:val="es-ES"/>
        </w:rPr>
      </w:pPr>
      <w:r>
        <w:rPr>
          <w:lang w:val="es-ES"/>
        </w:rPr>
        <w:t>Ejemplos:</w:t>
      </w:r>
      <w:r/>
    </w:p>
    <w:p>
      <w:pPr>
        <w:pStyle w:val="ListParagraph"/>
        <w:numPr>
          <w:ilvl w:val="2"/>
          <w:numId w:val="2"/>
        </w:numPr>
        <w:rPr>
          <w:lang w:val="es-ES"/>
        </w:rPr>
      </w:pPr>
      <w:r>
        <w:rPr>
          <w:lang w:val="es-ES"/>
        </w:rPr>
        <w:t>Típicamente aspectos de funcionamiento interno y organizativos</w:t>
      </w:r>
      <w:r/>
    </w:p>
    <w:p>
      <w:pPr>
        <w:pStyle w:val="ListParagraph"/>
        <w:numPr>
          <w:ilvl w:val="2"/>
          <w:numId w:val="2"/>
        </w:numPr>
        <w:rPr>
          <w:lang w:val="es-ES"/>
        </w:rPr>
      </w:pPr>
      <w:r>
        <w:rPr>
          <w:lang w:val="es-ES"/>
        </w:rPr>
        <w:t>Decisiones de un GT que afecten al resto del Círculo</w:t>
      </w:r>
      <w:r/>
    </w:p>
    <w:p>
      <w:pPr>
        <w:pStyle w:val="ListParagraph"/>
        <w:numPr>
          <w:ilvl w:val="0"/>
          <w:numId w:val="2"/>
        </w:numPr>
        <w:rPr>
          <w:lang w:val="es-ES"/>
        </w:rPr>
      </w:pPr>
      <w:r>
        <w:rPr>
          <w:b/>
          <w:lang w:val="es-ES"/>
        </w:rPr>
        <w:t>Ámbito 4</w:t>
      </w:r>
      <w:r>
        <w:rPr>
          <w:lang w:val="es-ES"/>
        </w:rPr>
        <w:t xml:space="preserve"> - Decisiones que son relevantes en el ámbito de un </w:t>
      </w:r>
      <w:r>
        <w:rPr>
          <w:b/>
          <w:lang w:val="es-ES"/>
        </w:rPr>
        <w:t>GT concreto</w:t>
      </w:r>
      <w:r/>
    </w:p>
    <w:p>
      <w:pPr>
        <w:pStyle w:val="ListParagraph"/>
        <w:numPr>
          <w:ilvl w:val="1"/>
          <w:numId w:val="2"/>
        </w:numPr>
        <w:rPr>
          <w:lang w:val="es-ES"/>
        </w:rPr>
      </w:pPr>
      <w:r>
        <w:rPr>
          <w:lang w:val="es-ES"/>
        </w:rPr>
        <w:t>Ejemplos:</w:t>
      </w:r>
      <w:r/>
    </w:p>
    <w:p>
      <w:pPr>
        <w:pStyle w:val="ListParagraph"/>
        <w:numPr>
          <w:ilvl w:val="2"/>
          <w:numId w:val="2"/>
        </w:numPr>
        <w:rPr>
          <w:lang w:val="es-ES"/>
        </w:rPr>
      </w:pPr>
      <w:r>
        <w:rPr>
          <w:lang w:val="es-ES"/>
        </w:rPr>
        <w:t>Decidir sobre la herramienta de comunicación que es más adecuada para el funcionamiento interno del GT</w:t>
      </w:r>
      <w:r/>
    </w:p>
    <w:p>
      <w:pPr>
        <w:pStyle w:val="Normal"/>
        <w:rPr>
          <w:i/>
          <w:i/>
          <w:iCs/>
          <w:rFonts w:ascii="Calibri Light" w:hAnsi="Calibri Light" w:eastAsia="" w:cs="" w:asciiTheme="majorHAnsi" w:cstheme="majorBidi" w:eastAsiaTheme="majorEastAsia" w:hAnsiTheme="majorHAnsi"/>
          <w:color w:val="2E74B5" w:themeColor="accent1" w:themeShade="bf"/>
          <w:lang w:val="es-ES"/>
        </w:rPr>
      </w:pPr>
      <w:r>
        <w:rPr>
          <w:lang w:val="es-ES"/>
        </w:rPr>
        <w:t>Las decisiones se pueden pasar a un ámbito más amplio no solo en caso de falta de consenso sino también en caso de que se considere conveniente en el ámbito más pequeño.</w:t>
      </w:r>
      <w:r>
        <w:br w:type="page"/>
      </w:r>
      <w:r/>
    </w:p>
    <w:p>
      <w:pPr>
        <w:pStyle w:val="Encabezado4"/>
        <w:rPr>
          <w:lang w:val="es-ES"/>
        </w:rPr>
      </w:pPr>
      <w:r>
        <w:rPr>
          <w:lang w:val="es-ES"/>
        </w:rPr>
        <w:t>El quórum</w:t>
      </w:r>
      <w:r/>
    </w:p>
    <w:p>
      <w:pPr>
        <w:pStyle w:val="Normal"/>
        <w:rPr>
          <w:lang w:val="es-ES"/>
        </w:rPr>
      </w:pPr>
      <w:r>
        <w:rPr>
          <w:lang w:val="es-ES"/>
        </w:rPr>
        <w:t>La legitimidad de las decisiones en el Círculo no estará condicionada por un quórum mínimo. No obstante lo anterior, se acatarán las indicaciones que se establezcan desde Podemos para casos específicos, como por ejemplo, para la celebración de la Asamblea Constituyente del Círculo, en cuyo caso sí se requiere un quórum mínimo.</w:t>
      </w:r>
      <w:r/>
    </w:p>
    <w:p>
      <w:pPr>
        <w:pStyle w:val="Encabezado4"/>
        <w:rPr>
          <w:lang w:val="es-ES"/>
        </w:rPr>
      </w:pPr>
      <w:r>
        <w:rPr>
          <w:lang w:val="es-ES"/>
        </w:rPr>
        <w:t>El grado de consenso</w:t>
      </w:r>
      <w:r/>
    </w:p>
    <w:p>
      <w:pPr>
        <w:pStyle w:val="Normal"/>
        <w:rPr>
          <w:lang w:val="es-ES"/>
        </w:rPr>
      </w:pPr>
      <w:r>
        <w:rPr>
          <w:lang w:val="es-ES"/>
        </w:rPr>
        <w:t>La legitimidad de las decisiones en el Círculo estará condicionada por el grado de consenso alcanzado por parte de los participantes en el proceso de decisión. El grado de consenso objetivo se establece en un 75%. En caso de no alcanzarse el grado de consenso objetivo se deberá considerar el traslado de la toma de decisión al siguiente ámbito más amplio.</w:t>
      </w:r>
      <w:r/>
    </w:p>
    <w:p>
      <w:pPr>
        <w:pStyle w:val="Encabezado4"/>
        <w:rPr>
          <w:lang w:val="es-ES"/>
        </w:rPr>
      </w:pPr>
      <w:r>
        <w:rPr>
          <w:lang w:val="es-ES"/>
        </w:rPr>
        <w:t>Los plazos</w:t>
      </w:r>
      <w:r/>
    </w:p>
    <w:p>
      <w:pPr>
        <w:pStyle w:val="Normal"/>
        <w:rPr>
          <w:lang w:val="es-ES"/>
        </w:rPr>
      </w:pPr>
      <w:r>
        <w:rPr>
          <w:lang w:val="es-ES"/>
        </w:rPr>
        <w:t>Para cada decisión se establecerán los plazos que se sean más adecuados para cada caso.</w:t>
      </w:r>
      <w:r/>
    </w:p>
    <w:p>
      <w:pPr>
        <w:pStyle w:val="Normal"/>
        <w:rPr>
          <w:sz w:val="24"/>
          <w:b/>
          <w:sz w:val="24"/>
          <w:b/>
          <w:szCs w:val="32"/>
          <w:rFonts w:ascii="Calibri Light" w:hAnsi="Calibri Light" w:eastAsia="" w:cs="" w:asciiTheme="majorHAnsi" w:cstheme="majorBidi" w:eastAsiaTheme="majorEastAsia" w:hAnsiTheme="majorHAnsi"/>
          <w:color w:val="7030A0"/>
          <w:lang w:val="es-ES"/>
        </w:rPr>
      </w:pPr>
      <w:r>
        <w:rPr>
          <w:rFonts w:eastAsia="" w:cs="" w:cstheme="majorBidi" w:eastAsiaTheme="majorEastAsia" w:ascii="Calibri Light" w:hAnsi="Calibri Light"/>
          <w:b/>
          <w:color w:val="7030A0"/>
          <w:sz w:val="24"/>
          <w:szCs w:val="32"/>
          <w:lang w:val="es-ES"/>
        </w:rPr>
      </w:r>
      <w:r>
        <w:br w:type="page"/>
      </w:r>
      <w:r/>
    </w:p>
    <w:p>
      <w:pPr>
        <w:pStyle w:val="Encabezado1"/>
        <w:rPr>
          <w:sz w:val="24"/>
          <w:sz w:val="24"/>
          <w:lang w:val="es-ES"/>
        </w:rPr>
      </w:pPr>
      <w:bookmarkStart w:id="7" w:name="_Toc409633689"/>
      <w:bookmarkEnd w:id="7"/>
      <w:r>
        <w:rPr>
          <w:sz w:val="24"/>
          <w:lang w:val="es-ES"/>
        </w:rPr>
        <w:t>Los Grupos de Trabajo</w:t>
      </w:r>
      <w:r/>
    </w:p>
    <w:p>
      <w:pPr>
        <w:pStyle w:val="Encabezado4"/>
        <w:rPr>
          <w:lang w:val="es-ES"/>
        </w:rPr>
      </w:pPr>
      <w:r>
        <w:rPr>
          <w:lang w:val="es-ES"/>
        </w:rPr>
        <w:t>Protocolo de funcionamiento interno</w:t>
      </w:r>
      <w:r>
        <w:rPr>
          <w:rStyle w:val="Ancladenotaalpie"/>
          <w:lang w:val="es-ES"/>
        </w:rPr>
        <w:footnoteReference w:id="4"/>
      </w:r>
      <w:r/>
    </w:p>
    <w:p>
      <w:pPr>
        <w:pStyle w:val="Normal"/>
        <w:rPr>
          <w:lang w:val="es-ES"/>
        </w:rPr>
      </w:pPr>
      <w:r>
        <w:rPr>
          <w:lang w:val="es-ES"/>
        </w:rPr>
        <w:t>Los GT redactarán un protocolo de funcionamiento que estará disponible para todo el mundo con el objetivo de clarificar sus funciones y facilitar la integración de nuevas personas.</w:t>
      </w:r>
      <w:r/>
    </w:p>
    <w:p>
      <w:pPr>
        <w:pStyle w:val="Encabezado4"/>
        <w:rPr>
          <w:lang w:val="es-ES"/>
        </w:rPr>
      </w:pPr>
      <w:r>
        <w:rPr>
          <w:lang w:val="es-ES"/>
        </w:rPr>
        <w:t>Los Miembros de los GT</w:t>
      </w:r>
      <w:r/>
    </w:p>
    <w:p>
      <w:pPr>
        <w:pStyle w:val="Normal"/>
        <w:rPr>
          <w:lang w:val="es-ES"/>
        </w:rPr>
      </w:pPr>
      <w:r>
        <w:rPr>
          <w:lang w:val="es-ES"/>
        </w:rPr>
        <w:t>Los miembros de los GT (incluidos los coordinadores) se comprometen a cumplir con sus funciones y responsabilidades y, en caso de no poder cumplirlas, de pasar estas funciones a otro miembro del GT</w:t>
      </w:r>
      <w:r>
        <w:rPr>
          <w:rStyle w:val="Ancladenotaalpie"/>
          <w:lang w:val="es-ES"/>
        </w:rPr>
        <w:footnoteReference w:id="5"/>
      </w:r>
      <w:r>
        <w:rPr>
          <w:lang w:val="es-ES"/>
        </w:rPr>
        <w:t>.</w:t>
      </w:r>
      <w:r/>
    </w:p>
    <w:p>
      <w:pPr>
        <w:pStyle w:val="Normal"/>
        <w:rPr>
          <w:lang w:val="es-ES"/>
        </w:rPr>
      </w:pPr>
      <w:r>
        <w:rPr>
          <w:lang w:val="es-ES"/>
        </w:rPr>
        <w:t>Se anima a todos los miembros de los GT que participen y colaboren en las actividades que realizan otros GT.</w:t>
      </w:r>
      <w:r/>
    </w:p>
    <w:p>
      <w:pPr>
        <w:pStyle w:val="Normal"/>
        <w:rPr>
          <w:lang w:val="es-ES"/>
        </w:rPr>
      </w:pPr>
      <w:r>
        <w:rPr>
          <w:lang w:val="es-ES"/>
        </w:rPr>
        <w:t>Se procederá a la baja de los miembros de los GT en el caso de que se cumplan las dos condiciones siguientes:</w:t>
      </w:r>
      <w:r/>
    </w:p>
    <w:p>
      <w:pPr>
        <w:pStyle w:val="ListParagraph"/>
        <w:numPr>
          <w:ilvl w:val="0"/>
          <w:numId w:val="6"/>
        </w:numPr>
        <w:rPr>
          <w:lang w:val="es-ES"/>
        </w:rPr>
      </w:pPr>
      <w:r>
        <w:rPr>
          <w:lang w:val="es-ES"/>
        </w:rPr>
        <w:t>El Coordinador del GT solicita confirmación de la pertenencia al GT a uno de sus miembros, pero éste no responde</w:t>
      </w:r>
      <w:r/>
    </w:p>
    <w:p>
      <w:pPr>
        <w:pStyle w:val="ListParagraph"/>
        <w:numPr>
          <w:ilvl w:val="0"/>
          <w:numId w:val="6"/>
        </w:numPr>
        <w:rPr>
          <w:lang w:val="es-ES"/>
        </w:rPr>
      </w:pPr>
      <w:r>
        <w:rPr>
          <w:lang w:val="es-ES"/>
        </w:rPr>
        <w:t>La situación se repite al menos 3 veces y no hay respuesta en al menos un mes desde la primera solicitud</w:t>
      </w:r>
      <w:r/>
    </w:p>
    <w:p>
      <w:pPr>
        <w:pStyle w:val="Normal"/>
        <w:rPr>
          <w:lang w:val="es-ES"/>
        </w:rPr>
      </w:pPr>
      <w:r>
        <w:rPr>
          <w:lang w:val="es-ES"/>
        </w:rPr>
        <w:t>Estas medidas tienen como fin:</w:t>
      </w:r>
      <w:r/>
    </w:p>
    <w:p>
      <w:pPr>
        <w:pStyle w:val="ListParagraph"/>
        <w:numPr>
          <w:ilvl w:val="0"/>
          <w:numId w:val="8"/>
        </w:numPr>
        <w:rPr>
          <w:lang w:val="es-ES"/>
        </w:rPr>
      </w:pPr>
      <w:r>
        <w:rPr>
          <w:lang w:val="es-ES"/>
        </w:rPr>
        <w:t>Preservar la eficacia de las actividades y toma de decisiones en los GT</w:t>
      </w:r>
      <w:r/>
    </w:p>
    <w:p>
      <w:pPr>
        <w:pStyle w:val="ListParagraph"/>
        <w:numPr>
          <w:ilvl w:val="0"/>
          <w:numId w:val="8"/>
        </w:numPr>
        <w:rPr>
          <w:lang w:val="es-ES"/>
        </w:rPr>
      </w:pPr>
      <w:r>
        <w:rPr>
          <w:lang w:val="es-ES"/>
        </w:rPr>
        <w:t>Evitar cargas de gestión y burocráticas innecesarias</w:t>
      </w:r>
      <w:r/>
    </w:p>
    <w:p>
      <w:pPr>
        <w:pStyle w:val="ListParagraph"/>
        <w:numPr>
          <w:ilvl w:val="0"/>
          <w:numId w:val="8"/>
        </w:numPr>
        <w:rPr>
          <w:lang w:val="es-ES"/>
        </w:rPr>
      </w:pPr>
      <w:r>
        <w:rPr>
          <w:lang w:val="es-ES"/>
        </w:rPr>
        <w:t>No utilizar datos personales cuando no sea estrictamente necesario</w:t>
      </w:r>
      <w:r/>
    </w:p>
    <w:p>
      <w:pPr>
        <w:pStyle w:val="Normal"/>
        <w:rPr>
          <w:i/>
          <w:i/>
          <w:iCs/>
          <w:rFonts w:ascii="Calibri Light" w:hAnsi="Calibri Light" w:eastAsia="" w:cs="" w:asciiTheme="majorHAnsi" w:cstheme="majorBidi" w:eastAsiaTheme="majorEastAsia" w:hAnsiTheme="majorHAnsi"/>
          <w:color w:val="2E74B5" w:themeColor="accent1" w:themeShade="bf"/>
          <w:lang w:val="es-ES"/>
        </w:rPr>
      </w:pPr>
      <w:r>
        <w:rPr>
          <w:rFonts w:eastAsia="" w:cs="" w:cstheme="majorBidi" w:eastAsiaTheme="majorEastAsia" w:ascii="Calibri Light" w:hAnsi="Calibri Light"/>
          <w:i/>
          <w:iCs/>
          <w:color w:val="2E74B5" w:themeColor="accent1" w:themeShade="bf"/>
          <w:lang w:val="es-ES"/>
        </w:rPr>
      </w:r>
      <w:r>
        <w:br w:type="page"/>
      </w:r>
      <w:r/>
    </w:p>
    <w:p>
      <w:pPr>
        <w:pStyle w:val="Encabezado4"/>
        <w:rPr>
          <w:lang w:val="es-ES"/>
        </w:rPr>
      </w:pPr>
      <w:r>
        <w:rPr>
          <w:lang w:val="es-ES"/>
        </w:rPr>
        <w:t>Los Coordinadores de los GT</w:t>
      </w:r>
      <w:r/>
    </w:p>
    <w:p>
      <w:pPr>
        <w:pStyle w:val="Normal"/>
        <w:rPr>
          <w:lang w:val="es-ES"/>
        </w:rPr>
      </w:pPr>
      <w:r>
        <w:rPr>
          <w:lang w:val="es-ES"/>
        </w:rPr>
        <w:t>Los GT dispondrán de entre uno y tres coordinadores, que formarán parte a su vez de la Coordinadora del Círculo.</w:t>
      </w:r>
      <w:r/>
    </w:p>
    <w:p>
      <w:pPr>
        <w:pStyle w:val="Normal"/>
        <w:rPr>
          <w:lang w:val="es-ES"/>
        </w:rPr>
      </w:pPr>
      <w:r>
        <w:rPr>
          <w:lang w:val="es-ES"/>
        </w:rPr>
        <w:t>Los coordinadores de los GT serán elegidos por los miembros de su GT</w:t>
      </w:r>
      <w:r>
        <w:rPr>
          <w:rStyle w:val="Ancladenotaalpie"/>
          <w:lang w:val="es-ES"/>
        </w:rPr>
        <w:footnoteReference w:id="6"/>
      </w:r>
      <w:r/>
    </w:p>
    <w:p>
      <w:pPr>
        <w:pStyle w:val="Normal"/>
        <w:rPr>
          <w:lang w:val="es-ES"/>
        </w:rPr>
      </w:pPr>
      <w:r>
        <w:rPr>
          <w:lang w:val="es-ES"/>
        </w:rPr>
        <w:t>Los coordinadores de los GT tienen las siguientes responsabilidades</w:t>
      </w:r>
      <w:r>
        <w:rPr>
          <w:rStyle w:val="Ancladenotaalpie"/>
          <w:lang w:val="es-ES"/>
        </w:rPr>
        <w:footnoteReference w:id="7"/>
      </w:r>
      <w:r>
        <w:rPr>
          <w:lang w:val="es-ES"/>
        </w:rPr>
        <w:t>:</w:t>
      </w:r>
      <w:r/>
    </w:p>
    <w:p>
      <w:pPr>
        <w:pStyle w:val="ListParagraph"/>
        <w:numPr>
          <w:ilvl w:val="0"/>
          <w:numId w:val="8"/>
        </w:numPr>
        <w:rPr>
          <w:lang w:val="es-ES"/>
        </w:rPr>
      </w:pPr>
      <w:r>
        <w:rPr>
          <w:lang w:val="es-ES"/>
        </w:rPr>
        <w:t>Mantener la comunicación interna de su GT. Promover la organización horizontal y la participación de todos sus miembros</w:t>
      </w:r>
      <w:r/>
    </w:p>
    <w:p>
      <w:pPr>
        <w:pStyle w:val="ListParagraph"/>
        <w:numPr>
          <w:ilvl w:val="0"/>
          <w:numId w:val="8"/>
        </w:numPr>
        <w:rPr>
          <w:lang w:val="es-ES"/>
        </w:rPr>
      </w:pPr>
      <w:r>
        <w:rPr>
          <w:lang w:val="es-ES"/>
        </w:rPr>
        <w:t>Mantener la comunicación entre su GT y el Círculo. Pasar toda la información del círculo a su grupo de trabajo y viceversa</w:t>
      </w:r>
      <w:r/>
    </w:p>
    <w:p>
      <w:pPr>
        <w:pStyle w:val="ListParagraph"/>
        <w:numPr>
          <w:ilvl w:val="0"/>
          <w:numId w:val="8"/>
        </w:numPr>
        <w:rPr>
          <w:lang w:val="es-ES"/>
        </w:rPr>
      </w:pPr>
      <w:r>
        <w:rPr>
          <w:lang w:val="es-ES"/>
        </w:rPr>
        <w:t>Mirar el email de coordinación 2 veces por semana y contestar a los emails</w:t>
      </w:r>
      <w:r/>
    </w:p>
    <w:p>
      <w:pPr>
        <w:pStyle w:val="ListParagraph"/>
        <w:numPr>
          <w:ilvl w:val="0"/>
          <w:numId w:val="8"/>
        </w:numPr>
        <w:rPr>
          <w:lang w:val="es-ES"/>
        </w:rPr>
      </w:pPr>
      <w:r>
        <w:rPr>
          <w:lang w:val="es-ES"/>
        </w:rPr>
        <w:t>Encargarse de que se actualice la página del Titanpad del GT semanalmente</w:t>
      </w:r>
      <w:r/>
    </w:p>
    <w:p>
      <w:pPr>
        <w:pStyle w:val="ListParagraph"/>
        <w:numPr>
          <w:ilvl w:val="0"/>
          <w:numId w:val="8"/>
        </w:numPr>
        <w:rPr>
          <w:lang w:val="es-ES"/>
        </w:rPr>
      </w:pPr>
      <w:r>
        <w:rPr>
          <w:lang w:val="es-ES"/>
        </w:rPr>
        <w:t>Pasar la información necesaria para el boletín mensual por correo al grupo “coordinación de grupos de trabajo”</w:t>
      </w:r>
      <w:r/>
    </w:p>
    <w:p>
      <w:pPr>
        <w:pStyle w:val="ListParagraph"/>
        <w:numPr>
          <w:ilvl w:val="0"/>
          <w:numId w:val="8"/>
        </w:numPr>
        <w:rPr>
          <w:lang w:val="es-ES"/>
        </w:rPr>
      </w:pPr>
      <w:r>
        <w:rPr>
          <w:lang w:val="es-ES"/>
        </w:rPr>
        <w:t>Avisar a “organización de asambleas” si hay algún tema que necesite ser tratado en la asamblea con 7 días de antelación (si hay algo que surja después de ese plazo evidentemente tendrá que ser después). Explicar el motivo y una estimación del tiempo necesario, si hay que debatirlo, si es solamente un update que no puede esperar al boletín mensual y hay que hacerlo llegar al máximo posible de gente (sino es tan importante podrá verse en el Titanpad arriba mencionado y en el boletín mensual). Subir esta propuesta igualmente al Titanpad de “sugerencias para la próxima asamblea” para que el resto del círculo este al corriente y puedan opinar con conocimiento de causa que temas son más importantes/urgentes tratar en la asamblea.</w:t>
      </w:r>
      <w:r/>
    </w:p>
    <w:p>
      <w:pPr>
        <w:pStyle w:val="Normal"/>
        <w:rPr>
          <w:i/>
          <w:i/>
          <w:iCs/>
          <w:rFonts w:ascii="Calibri Light" w:hAnsi="Calibri Light" w:eastAsia="" w:cs="" w:asciiTheme="majorHAnsi" w:cstheme="majorBidi" w:eastAsiaTheme="majorEastAsia" w:hAnsiTheme="majorHAnsi"/>
          <w:color w:val="2E74B5" w:themeColor="accent1" w:themeShade="bf"/>
          <w:lang w:val="es-ES"/>
        </w:rPr>
      </w:pPr>
      <w:r>
        <w:rPr>
          <w:rFonts w:eastAsia="" w:cs="" w:cstheme="majorBidi" w:eastAsiaTheme="majorEastAsia" w:ascii="Calibri Light" w:hAnsi="Calibri Light"/>
          <w:i/>
          <w:iCs/>
          <w:color w:val="2E74B5" w:themeColor="accent1" w:themeShade="bf"/>
          <w:lang w:val="es-ES"/>
        </w:rPr>
      </w:r>
      <w:r>
        <w:br w:type="page"/>
      </w:r>
      <w:r/>
    </w:p>
    <w:p>
      <w:pPr>
        <w:pStyle w:val="Encabezado4"/>
        <w:rPr>
          <w:lang w:val="es-ES"/>
        </w:rPr>
      </w:pPr>
      <w:r>
        <w:rPr>
          <w:lang w:val="es-ES"/>
        </w:rPr>
        <w:t>Comunicación de lo que sucede en los GT al resto del Círculo</w:t>
      </w:r>
      <w:r>
        <w:rPr>
          <w:rStyle w:val="Ancladenotaalpie"/>
          <w:lang w:val="es-ES"/>
        </w:rPr>
        <w:footnoteReference w:id="8"/>
      </w:r>
      <w:r/>
    </w:p>
    <w:p>
      <w:pPr>
        <w:pStyle w:val="ListParagraph"/>
        <w:numPr>
          <w:ilvl w:val="0"/>
          <w:numId w:val="10"/>
        </w:numPr>
        <w:rPr>
          <w:lang w:val="es-ES"/>
        </w:rPr>
      </w:pPr>
      <w:r>
        <w:rPr>
          <w:lang w:val="es-ES"/>
        </w:rPr>
        <w:t>Página única de Titanpad para los updates de todos los grupos</w:t>
      </w:r>
      <w:r/>
    </w:p>
    <w:p>
      <w:pPr>
        <w:pStyle w:val="ListParagraph"/>
        <w:numPr>
          <w:ilvl w:val="1"/>
          <w:numId w:val="11"/>
        </w:numPr>
        <w:rPr>
          <w:lang w:val="es-ES"/>
        </w:rPr>
      </w:pPr>
      <w:r>
        <w:rPr>
          <w:lang w:val="es-ES"/>
        </w:rPr>
        <w:t>Incluir los objetivos del grupo de trabajo y como van (coordinador/a o alguién a quién delegue)</w:t>
      </w:r>
      <w:r/>
    </w:p>
    <w:p>
      <w:pPr>
        <w:pStyle w:val="ListParagraph"/>
        <w:numPr>
          <w:ilvl w:val="1"/>
          <w:numId w:val="11"/>
        </w:numPr>
        <w:rPr>
          <w:lang w:val="es-ES"/>
        </w:rPr>
      </w:pPr>
      <w:r>
        <w:rPr>
          <w:lang w:val="es-ES"/>
        </w:rPr>
        <w:t>Actualizar esta información semanalmente (coordinador/a o alguién a quién delegue)</w:t>
      </w:r>
      <w:r/>
    </w:p>
    <w:p>
      <w:pPr>
        <w:pStyle w:val="ListParagraph"/>
        <w:numPr>
          <w:ilvl w:val="0"/>
          <w:numId w:val="10"/>
        </w:numPr>
        <w:rPr>
          <w:lang w:val="es-ES"/>
        </w:rPr>
      </w:pPr>
      <w:r>
        <w:rPr>
          <w:lang w:val="es-ES"/>
        </w:rPr>
        <w:t>El Boletín Mensual</w:t>
      </w:r>
      <w:r/>
    </w:p>
    <w:p>
      <w:pPr>
        <w:pStyle w:val="ListParagraph"/>
        <w:numPr>
          <w:ilvl w:val="1"/>
          <w:numId w:val="11"/>
        </w:numPr>
        <w:rPr>
          <w:lang w:val="es-ES"/>
        </w:rPr>
      </w:pPr>
      <w:r>
        <w:rPr>
          <w:lang w:val="es-ES"/>
        </w:rPr>
        <w:t>Qué incluye</w:t>
      </w:r>
      <w:r/>
    </w:p>
    <w:p>
      <w:pPr>
        <w:pStyle w:val="ListParagraph"/>
        <w:numPr>
          <w:ilvl w:val="2"/>
          <w:numId w:val="12"/>
        </w:numPr>
        <w:rPr>
          <w:lang w:val="es-ES"/>
        </w:rPr>
      </w:pPr>
      <w:r>
        <w:rPr>
          <w:lang w:val="es-ES"/>
        </w:rPr>
        <w:t>en qué ha trabajado en el último mes cada grupo de trabajo y cómo van los temas que lleven</w:t>
      </w:r>
      <w:r/>
    </w:p>
    <w:p>
      <w:pPr>
        <w:pStyle w:val="ListParagraph"/>
        <w:numPr>
          <w:ilvl w:val="2"/>
          <w:numId w:val="12"/>
        </w:numPr>
        <w:rPr>
          <w:lang w:val="es-ES"/>
        </w:rPr>
      </w:pPr>
      <w:r>
        <w:rPr>
          <w:lang w:val="es-ES"/>
        </w:rPr>
        <w:t>en qué planea trabajar el próximo mes cada grupo de trabajo</w:t>
      </w:r>
      <w:r/>
    </w:p>
    <w:p>
      <w:pPr>
        <w:pStyle w:val="ListParagraph"/>
        <w:numPr>
          <w:ilvl w:val="2"/>
          <w:numId w:val="12"/>
        </w:numPr>
        <w:rPr>
          <w:lang w:val="es-ES"/>
        </w:rPr>
      </w:pPr>
      <w:r>
        <w:rPr>
          <w:lang w:val="es-ES"/>
        </w:rPr>
        <w:t>dificultades que está encontrando cada grupo de trabajo (para así buscar soluciones entre tod@s)</w:t>
      </w:r>
      <w:r/>
    </w:p>
    <w:p>
      <w:pPr>
        <w:pStyle w:val="ListParagraph"/>
        <w:numPr>
          <w:ilvl w:val="2"/>
          <w:numId w:val="12"/>
        </w:numPr>
        <w:rPr>
          <w:lang w:val="es-ES"/>
        </w:rPr>
      </w:pPr>
      <w:r>
        <w:rPr>
          <w:lang w:val="es-ES"/>
        </w:rPr>
        <w:t>organigrama actual</w:t>
      </w:r>
      <w:r/>
    </w:p>
    <w:p>
      <w:pPr>
        <w:pStyle w:val="ListParagraph"/>
        <w:numPr>
          <w:ilvl w:val="2"/>
          <w:numId w:val="12"/>
        </w:numPr>
        <w:rPr>
          <w:lang w:val="es-ES"/>
        </w:rPr>
      </w:pPr>
      <w:r>
        <w:rPr>
          <w:lang w:val="es-ES"/>
        </w:rPr>
        <w:t>explicación de los grupos de trabajo (general para que la gente sepa en qué consiste cada grupo)</w:t>
      </w:r>
      <w:r/>
    </w:p>
    <w:p>
      <w:pPr>
        <w:pStyle w:val="ListParagraph"/>
        <w:numPr>
          <w:ilvl w:val="2"/>
          <w:numId w:val="12"/>
        </w:numPr>
        <w:rPr>
          <w:lang w:val="es-ES"/>
        </w:rPr>
      </w:pPr>
      <w:r>
        <w:rPr>
          <w:lang w:val="es-ES"/>
        </w:rPr>
        <w:t>el enlace al Titanpad del punto número 1, para que la gente sepa donde informarse el resto del mes</w:t>
      </w:r>
      <w:r/>
    </w:p>
    <w:p>
      <w:pPr>
        <w:pStyle w:val="ListParagraph"/>
        <w:numPr>
          <w:ilvl w:val="2"/>
          <w:numId w:val="12"/>
        </w:numPr>
        <w:rPr>
          <w:lang w:val="es-ES"/>
        </w:rPr>
      </w:pPr>
      <w:r>
        <w:rPr>
          <w:lang w:val="es-ES"/>
        </w:rPr>
        <w:t>correo del grupo de “coordinación de grupos de trabajo” para que escriban allí las personas nuevas que quieran participar en los grupos</w:t>
      </w:r>
      <w:r/>
    </w:p>
    <w:p>
      <w:pPr>
        <w:pStyle w:val="ListParagraph"/>
        <w:numPr>
          <w:ilvl w:val="1"/>
          <w:numId w:val="12"/>
        </w:numPr>
        <w:rPr>
          <w:lang w:val="es-ES"/>
        </w:rPr>
      </w:pPr>
      <w:r>
        <w:rPr>
          <w:lang w:val="es-ES"/>
        </w:rPr>
        <w:t>Cómo hacerlo</w:t>
      </w:r>
      <w:r/>
    </w:p>
    <w:p>
      <w:pPr>
        <w:pStyle w:val="ListParagraph"/>
        <w:numPr>
          <w:ilvl w:val="2"/>
          <w:numId w:val="12"/>
        </w:numPr>
        <w:rPr>
          <w:lang w:val="es-ES"/>
        </w:rPr>
      </w:pPr>
      <w:r>
        <w:rPr>
          <w:lang w:val="es-ES"/>
        </w:rPr>
        <w:t>Entre el día 25 y el último día del mes enviar a coordinación de grupos: un resumen con las actividades del grupo de trabajo de ese mes y en que planean estar trabajando el próximo mes, dificultades encontradas para realizar el trabajo. Un mes sí y otro no incluir: lista de personas trabajando en el grupo y de que se encargan (incluir nombre y email, esto nos servirá para hacer una lista de habilidades) (Coordinador/a de cada grupo)</w:t>
      </w:r>
      <w:r/>
    </w:p>
    <w:p>
      <w:pPr>
        <w:pStyle w:val="ListParagraph"/>
        <w:numPr>
          <w:ilvl w:val="2"/>
          <w:numId w:val="12"/>
        </w:numPr>
        <w:rPr>
          <w:lang w:val="es-ES"/>
        </w:rPr>
      </w:pPr>
      <w:r>
        <w:rPr>
          <w:lang w:val="es-ES"/>
        </w:rPr>
        <w:t>Entre los días 1 y 4 de cada mes: Juntar los resúmenes de cada grupo y la base de datos de las personas y enviarlas a todos los coordinadores bajo el nombre “Boletín completo” (Coordinación de grupos de trabajo)</w:t>
      </w:r>
      <w:r/>
    </w:p>
    <w:p>
      <w:pPr>
        <w:pStyle w:val="ListParagraph"/>
        <w:numPr>
          <w:ilvl w:val="2"/>
          <w:numId w:val="12"/>
        </w:numPr>
        <w:rPr>
          <w:lang w:val="es-ES"/>
        </w:rPr>
      </w:pPr>
      <w:r>
        <w:rPr>
          <w:lang w:val="es-ES"/>
        </w:rPr>
        <w:t>Excluir del resumen de actividades cualquier dato comprometido y enviarlo al resto de coordinadores por si hay algo que corregir bajo el nombre “Boletín mensual”. Este es el resumen que se le enviaría a todo</w:t>
      </w:r>
      <w:r/>
    </w:p>
    <w:p>
      <w:pPr>
        <w:pStyle w:val="ListParagraph"/>
        <w:numPr>
          <w:ilvl w:val="2"/>
          <w:numId w:val="12"/>
        </w:numPr>
        <w:rPr>
          <w:lang w:val="es-ES"/>
        </w:rPr>
      </w:pPr>
      <w:r>
        <w:rPr>
          <w:lang w:val="es-ES"/>
        </w:rPr>
        <w:t>el círculo) (Coordinación de grupos de trabajo)</w:t>
      </w:r>
      <w:r/>
    </w:p>
    <w:p>
      <w:pPr>
        <w:pStyle w:val="ListParagraph"/>
        <w:numPr>
          <w:ilvl w:val="2"/>
          <w:numId w:val="12"/>
        </w:numPr>
        <w:rPr>
          <w:lang w:val="es-ES"/>
        </w:rPr>
      </w:pPr>
      <w:r>
        <w:rPr>
          <w:lang w:val="es-ES"/>
        </w:rPr>
        <w:t>Mirar este resumen y decir si hay algo que corregir antes del día 6 (Coordinador/a de cada grupo)</w:t>
      </w:r>
      <w:r/>
    </w:p>
    <w:p>
      <w:pPr>
        <w:pStyle w:val="ListParagraph"/>
        <w:numPr>
          <w:ilvl w:val="2"/>
          <w:numId w:val="12"/>
        </w:numPr>
        <w:rPr>
          <w:lang w:val="es-ES"/>
        </w:rPr>
      </w:pPr>
      <w:r>
        <w:rPr>
          <w:lang w:val="es-ES"/>
        </w:rPr>
        <w:t>El día 6: enviar el Boletín mensual al resto del círculo via email. (Coordinación de grupos de trabajo). (Redes lo sube a facebook y a la página web)</w:t>
      </w:r>
      <w:r/>
    </w:p>
    <w:p>
      <w:pPr>
        <w:pStyle w:val="Normal"/>
        <w:rPr>
          <w:sz w:val="24"/>
          <w:b/>
          <w:sz w:val="24"/>
          <w:b/>
          <w:szCs w:val="32"/>
          <w:rFonts w:ascii="Calibri Light" w:hAnsi="Calibri Light" w:eastAsia="" w:cs="" w:asciiTheme="majorHAnsi" w:cstheme="majorBidi" w:eastAsiaTheme="majorEastAsia" w:hAnsiTheme="majorHAnsi"/>
          <w:color w:val="7030A0"/>
          <w:lang w:val="es-ES"/>
        </w:rPr>
      </w:pPr>
      <w:r>
        <w:rPr>
          <w:rFonts w:eastAsia="" w:cs="" w:cstheme="majorBidi" w:eastAsiaTheme="majorEastAsia" w:ascii="Calibri Light" w:hAnsi="Calibri Light"/>
          <w:b/>
          <w:color w:val="7030A0"/>
          <w:sz w:val="24"/>
          <w:szCs w:val="32"/>
          <w:lang w:val="es-ES"/>
        </w:rPr>
      </w:r>
      <w:r>
        <w:br w:type="page"/>
      </w:r>
      <w:r/>
    </w:p>
    <w:p>
      <w:pPr>
        <w:pStyle w:val="Encabezado1"/>
        <w:rPr>
          <w:sz w:val="24"/>
          <w:sz w:val="24"/>
          <w:lang w:val="es-ES"/>
        </w:rPr>
      </w:pPr>
      <w:bookmarkStart w:id="8" w:name="_Toc409633690"/>
      <w:bookmarkEnd w:id="8"/>
      <w:r>
        <w:rPr>
          <w:sz w:val="24"/>
          <w:lang w:val="es-ES"/>
        </w:rPr>
        <w:t>Las herramientas</w:t>
      </w:r>
      <w:r/>
    </w:p>
    <w:p>
      <w:pPr>
        <w:pStyle w:val="Normal"/>
        <w:rPr>
          <w:lang w:val="es-ES"/>
        </w:rPr>
      </w:pPr>
      <w:r>
        <w:rPr>
          <w:lang w:val="es-ES"/>
        </w:rPr>
        <w:t>Este apartado describe las herramientas básicas para el funcionamiento del Círculo de Londres. Se han identificado las herramientas más adecuadas para cada colectivo, según se describe en la siguiente tabla:</w:t>
      </w:r>
      <w:r/>
    </w:p>
    <w:tbl>
      <w:tblPr>
        <w:tblStyle w:val="TableGrid"/>
        <w:tblW w:w="9418" w:type="dxa"/>
        <w:jc w:val="center"/>
        <w:tblInd w:w="0" w:type="dxa"/>
        <w:tblBorders>
          <w:top w:val="nil"/>
          <w:left w:val="nil"/>
        </w:tblBorders>
        <w:tblCellMar>
          <w:top w:w="0" w:type="dxa"/>
          <w:left w:w="113" w:type="dxa"/>
          <w:bottom w:w="0" w:type="dxa"/>
          <w:right w:w="108" w:type="dxa"/>
        </w:tblCellMar>
      </w:tblPr>
      <w:tblGrid>
        <w:gridCol w:w="1352"/>
        <w:gridCol w:w="2014"/>
        <w:gridCol w:w="1"/>
        <w:gridCol w:w="1636"/>
        <w:gridCol w:w="1"/>
        <w:gridCol w:w="1468"/>
        <w:gridCol w:w="1"/>
        <w:gridCol w:w="1576"/>
        <w:gridCol w:w="1"/>
        <w:gridCol w:w="1367"/>
      </w:tblGrid>
      <w:tr>
        <w:trPr/>
        <w:tc>
          <w:tcPr>
            <w:tcW w:w="3367" w:type="dxa"/>
            <w:gridSpan w:val="3"/>
            <w:tcBorders>
              <w:top w:val="nil"/>
              <w:left w:val="nil"/>
            </w:tcBorders>
            <w:shd w:color="auto" w:fill="auto" w:val="clear"/>
            <w:vAlign w:val="center"/>
          </w:tcPr>
          <w:p>
            <w:pPr>
              <w:pStyle w:val="Normal"/>
              <w:spacing w:lineRule="auto" w:line="240" w:before="0" w:after="0"/>
              <w:rPr>
                <w:lang w:val="es-ES"/>
              </w:rPr>
            </w:pPr>
            <w:r>
              <w:rPr>
                <w:lang w:val="es-ES"/>
              </w:rPr>
            </w:r>
            <w:r/>
          </w:p>
        </w:tc>
        <w:tc>
          <w:tcPr>
            <w:tcW w:w="1637" w:type="dxa"/>
            <w:gridSpan w:val="2"/>
            <w:tcBorders/>
            <w:shd w:color="auto" w:fill="F7CAAC" w:themeFill="accent2" w:themeFillTint="66" w:val="clear"/>
            <w:tcMar>
              <w:left w:w="108" w:type="dxa"/>
            </w:tcMar>
            <w:vAlign w:val="center"/>
          </w:tcPr>
          <w:p>
            <w:pPr>
              <w:pStyle w:val="Normal"/>
              <w:spacing w:lineRule="auto" w:line="240" w:before="0" w:after="0"/>
              <w:jc w:val="center"/>
              <w:rPr>
                <w:lang w:val="es-ES"/>
              </w:rPr>
            </w:pPr>
            <w:r>
              <w:rPr>
                <w:lang w:val="es-ES"/>
              </w:rPr>
              <w:t>Facebook</w:t>
            </w:r>
            <w:r/>
          </w:p>
        </w:tc>
        <w:tc>
          <w:tcPr>
            <w:tcW w:w="1469" w:type="dxa"/>
            <w:gridSpan w:val="2"/>
            <w:tcBorders/>
            <w:shd w:color="auto" w:fill="F7CAAC" w:themeFill="accent2" w:themeFillTint="66" w:val="clear"/>
            <w:tcMar>
              <w:left w:w="108" w:type="dxa"/>
            </w:tcMar>
            <w:vAlign w:val="center"/>
          </w:tcPr>
          <w:p>
            <w:pPr>
              <w:pStyle w:val="Normal"/>
              <w:spacing w:lineRule="auto" w:line="240" w:before="0" w:after="0"/>
              <w:jc w:val="center"/>
              <w:rPr>
                <w:lang w:val="es-ES"/>
              </w:rPr>
            </w:pPr>
            <w:r>
              <w:rPr>
                <w:lang w:val="es-ES"/>
              </w:rPr>
              <w:t>Loomio</w:t>
            </w:r>
            <w:r/>
          </w:p>
        </w:tc>
        <w:tc>
          <w:tcPr>
            <w:tcW w:w="1577" w:type="dxa"/>
            <w:gridSpan w:val="2"/>
            <w:tcBorders/>
            <w:shd w:color="auto" w:fill="F7CAAC" w:themeFill="accent2" w:themeFillTint="66" w:val="clear"/>
            <w:tcMar>
              <w:left w:w="108" w:type="dxa"/>
            </w:tcMar>
            <w:vAlign w:val="center"/>
          </w:tcPr>
          <w:p>
            <w:pPr>
              <w:pStyle w:val="Normal"/>
              <w:spacing w:lineRule="auto" w:line="240" w:before="0" w:after="0"/>
              <w:jc w:val="center"/>
              <w:rPr>
                <w:lang w:val="es-ES"/>
              </w:rPr>
            </w:pPr>
            <w:r>
              <w:rPr>
                <w:lang w:val="es-ES"/>
              </w:rPr>
              <w:t>Pad</w:t>
            </w:r>
            <w:r/>
          </w:p>
        </w:tc>
        <w:tc>
          <w:tcPr>
            <w:tcW w:w="1367" w:type="dxa"/>
            <w:tcBorders/>
            <w:shd w:color="auto" w:fill="F7CAAC" w:themeFill="accent2" w:themeFillTint="66" w:val="clear"/>
            <w:tcMar>
              <w:left w:w="108" w:type="dxa"/>
            </w:tcMar>
            <w:vAlign w:val="center"/>
          </w:tcPr>
          <w:p>
            <w:pPr>
              <w:pStyle w:val="Normal"/>
              <w:spacing w:lineRule="auto" w:line="240" w:before="0" w:after="0"/>
              <w:jc w:val="center"/>
              <w:rPr>
                <w:lang w:val="es-ES"/>
              </w:rPr>
            </w:pPr>
            <w:r>
              <w:rPr>
                <w:lang w:val="es-ES"/>
              </w:rPr>
              <w:t>Lista de email</w:t>
            </w:r>
            <w:r/>
          </w:p>
        </w:tc>
      </w:tr>
      <w:tr>
        <w:trPr/>
        <w:tc>
          <w:tcPr>
            <w:tcW w:w="1352" w:type="dxa"/>
            <w:tcBorders/>
            <w:shd w:color="auto" w:fill="F2F2F2" w:themeFill="background1" w:themeFillShade="f2" w:val="clear"/>
            <w:tcMar>
              <w:left w:w="108" w:type="dxa"/>
            </w:tcMar>
            <w:vAlign w:val="center"/>
          </w:tcPr>
          <w:p>
            <w:pPr>
              <w:pStyle w:val="Normal"/>
              <w:spacing w:lineRule="auto" w:line="240" w:before="0" w:after="0"/>
              <w:rPr>
                <w:lang w:val="es-ES"/>
              </w:rPr>
            </w:pPr>
            <w:r>
              <w:rPr>
                <w:lang w:val="es-ES"/>
              </w:rPr>
              <w:t>Colectivo 1</w:t>
            </w:r>
            <w:r/>
          </w:p>
        </w:tc>
        <w:tc>
          <w:tcPr>
            <w:tcW w:w="2014" w:type="dxa"/>
            <w:tcBorders/>
            <w:shd w:color="auto" w:fill="F2F2F2" w:themeFill="background1" w:themeFillShade="f2" w:val="clear"/>
            <w:tcMar>
              <w:left w:w="108" w:type="dxa"/>
            </w:tcMar>
            <w:vAlign w:val="center"/>
          </w:tcPr>
          <w:p>
            <w:pPr>
              <w:pStyle w:val="Normal"/>
              <w:spacing w:lineRule="auto" w:line="240" w:before="0" w:after="0"/>
              <w:rPr>
                <w:lang w:val="en-US"/>
              </w:rPr>
            </w:pPr>
            <w:r>
              <w:rPr>
                <w:lang w:val="en-US"/>
              </w:rPr>
              <w:t>La Asamblea</w:t>
            </w:r>
            <w:r/>
          </w:p>
        </w:tc>
        <w:tc>
          <w:tcPr>
            <w:tcW w:w="1637" w:type="dxa"/>
            <w:gridSpan w:val="2"/>
            <w:tcBorders/>
            <w:shd w:fill="auto" w:val="clear"/>
            <w:tcMar>
              <w:left w:w="108" w:type="dxa"/>
            </w:tcMar>
            <w:vAlign w:val="center"/>
          </w:tcPr>
          <w:p>
            <w:pPr>
              <w:pStyle w:val="Normal"/>
              <w:spacing w:lineRule="auto" w:line="240" w:before="0" w:after="0"/>
              <w:jc w:val="center"/>
              <w:rPr>
                <w:lang w:val="en-US"/>
              </w:rPr>
            </w:pPr>
            <w:r>
              <w:rPr>
                <w:rFonts w:ascii="Wingdings 2" w:hAnsi="Wingdings 2"/>
                <w:lang w:val="en-US"/>
              </w:rPr>
              <w:t></w:t>
            </w:r>
            <w:r>
              <w:rPr>
                <w:lang w:val="en-US"/>
              </w:rPr>
              <w:t xml:space="preserve"> </w:t>
            </w:r>
            <w:r>
              <w:rPr>
                <w:lang w:val="en-US"/>
              </w:rPr>
              <w:t>(1)</w:t>
            </w:r>
            <w:r/>
          </w:p>
        </w:tc>
        <w:tc>
          <w:tcPr>
            <w:tcW w:w="1469" w:type="dxa"/>
            <w:gridSpan w:val="2"/>
            <w:tcBorders/>
            <w:shd w:fill="auto" w:val="clear"/>
            <w:tcMar>
              <w:left w:w="108" w:type="dxa"/>
            </w:tcMar>
            <w:vAlign w:val="center"/>
          </w:tcPr>
          <w:p>
            <w:pPr>
              <w:pStyle w:val="Normal"/>
              <w:spacing w:lineRule="auto" w:line="240" w:before="0" w:after="0"/>
              <w:jc w:val="center"/>
              <w:rPr>
                <w:lang w:val="en-US"/>
              </w:rPr>
            </w:pPr>
            <w:r>
              <w:rPr>
                <w:lang w:val="en-US"/>
              </w:rPr>
            </w:r>
            <w:r/>
          </w:p>
        </w:tc>
        <w:tc>
          <w:tcPr>
            <w:tcW w:w="1577" w:type="dxa"/>
            <w:gridSpan w:val="2"/>
            <w:tcBorders/>
            <w:shd w:fill="auto" w:val="clear"/>
            <w:tcMar>
              <w:left w:w="108" w:type="dxa"/>
            </w:tcMar>
            <w:vAlign w:val="center"/>
          </w:tcPr>
          <w:p>
            <w:pPr>
              <w:pStyle w:val="Normal"/>
              <w:spacing w:lineRule="auto" w:line="240" w:before="0" w:after="0"/>
              <w:jc w:val="center"/>
              <w:rPr>
                <w:lang w:val="en-US"/>
              </w:rPr>
            </w:pPr>
            <w:r>
              <w:rPr>
                <w:lang w:val="en-US"/>
              </w:rPr>
            </w:r>
            <w:r/>
          </w:p>
        </w:tc>
        <w:tc>
          <w:tcPr>
            <w:tcW w:w="1368" w:type="dxa"/>
            <w:gridSpan w:val="2"/>
            <w:tcBorders/>
            <w:shd w:fill="auto" w:val="clear"/>
            <w:tcMar>
              <w:left w:w="108" w:type="dxa"/>
            </w:tcMar>
            <w:vAlign w:val="center"/>
          </w:tcPr>
          <w:p>
            <w:pPr>
              <w:pStyle w:val="Normal"/>
              <w:spacing w:lineRule="auto" w:line="240" w:before="0" w:after="0"/>
              <w:jc w:val="center"/>
              <w:rPr>
                <w:lang w:val="en-US"/>
              </w:rPr>
            </w:pPr>
            <w:r>
              <w:rPr>
                <w:rFonts w:ascii="Wingdings 2" w:hAnsi="Wingdings 2"/>
                <w:lang w:val="en-US"/>
              </w:rPr>
              <w:t></w:t>
            </w:r>
            <w:r>
              <w:rPr>
                <w:lang w:val="en-US"/>
              </w:rPr>
              <w:t xml:space="preserve"> </w:t>
            </w:r>
            <w:r>
              <w:rPr>
                <w:lang w:val="en-US"/>
              </w:rPr>
              <w:t>(6)</w:t>
            </w:r>
            <w:r/>
          </w:p>
        </w:tc>
      </w:tr>
      <w:tr>
        <w:trPr/>
        <w:tc>
          <w:tcPr>
            <w:tcW w:w="1352" w:type="dxa"/>
            <w:tcBorders/>
            <w:shd w:color="auto" w:fill="F2F2F2" w:themeFill="background1" w:themeFillShade="f2" w:val="clear"/>
            <w:tcMar>
              <w:left w:w="108" w:type="dxa"/>
            </w:tcMar>
            <w:vAlign w:val="center"/>
          </w:tcPr>
          <w:p>
            <w:pPr>
              <w:pStyle w:val="Normal"/>
              <w:spacing w:lineRule="auto" w:line="240" w:before="0" w:after="0"/>
              <w:rPr>
                <w:lang w:val="es-ES"/>
              </w:rPr>
            </w:pPr>
            <w:r>
              <w:rPr>
                <w:lang w:val="es-ES"/>
              </w:rPr>
              <w:t>Colectivo 2</w:t>
            </w:r>
            <w:r/>
          </w:p>
        </w:tc>
        <w:tc>
          <w:tcPr>
            <w:tcW w:w="2014" w:type="dxa"/>
            <w:tcBorders/>
            <w:shd w:color="auto" w:fill="F2F2F2" w:themeFill="background1" w:themeFillShade="f2" w:val="clear"/>
            <w:tcMar>
              <w:left w:w="108" w:type="dxa"/>
            </w:tcMar>
            <w:vAlign w:val="center"/>
          </w:tcPr>
          <w:p>
            <w:pPr>
              <w:pStyle w:val="Normal"/>
              <w:spacing w:lineRule="auto" w:line="240" w:before="0" w:after="0"/>
              <w:rPr>
                <w:lang w:val="es-ES"/>
              </w:rPr>
            </w:pPr>
            <w:r>
              <w:rPr>
                <w:lang w:val="es-ES"/>
              </w:rPr>
              <w:t>Miembros de los GT</w:t>
            </w:r>
            <w:r/>
          </w:p>
        </w:tc>
        <w:tc>
          <w:tcPr>
            <w:tcW w:w="1637" w:type="dxa"/>
            <w:gridSpan w:val="2"/>
            <w:tcBorders/>
            <w:shd w:fill="auto" w:val="clear"/>
            <w:tcMar>
              <w:left w:w="108" w:type="dxa"/>
            </w:tcMar>
            <w:vAlign w:val="center"/>
          </w:tcPr>
          <w:p>
            <w:pPr>
              <w:pStyle w:val="Normal"/>
              <w:spacing w:lineRule="auto" w:line="240" w:before="0" w:after="0"/>
              <w:jc w:val="center"/>
              <w:rPr>
                <w:lang w:val="es-ES"/>
              </w:rPr>
            </w:pPr>
            <w:r>
              <w:rPr>
                <w:lang w:val="es-ES"/>
              </w:rPr>
            </w:r>
            <w:r/>
          </w:p>
        </w:tc>
        <w:tc>
          <w:tcPr>
            <w:tcW w:w="1469" w:type="dxa"/>
            <w:gridSpan w:val="2"/>
            <w:tcBorders/>
            <w:shd w:fill="auto" w:val="clear"/>
            <w:tcMar>
              <w:left w:w="108" w:type="dxa"/>
            </w:tcMar>
            <w:vAlign w:val="center"/>
          </w:tcPr>
          <w:p>
            <w:pPr>
              <w:pStyle w:val="Normal"/>
              <w:spacing w:lineRule="auto" w:line="240" w:before="0" w:after="0"/>
              <w:jc w:val="center"/>
              <w:rPr>
                <w:lang w:val="es-ES"/>
              </w:rPr>
            </w:pPr>
            <w:r>
              <w:rPr>
                <w:rFonts w:ascii="Wingdings 2" w:hAnsi="Wingdings 2"/>
                <w:lang w:val="en-US"/>
              </w:rPr>
              <w:t></w:t>
            </w:r>
            <w:r>
              <w:rPr>
                <w:lang w:val="en-US"/>
              </w:rPr>
              <w:t xml:space="preserve"> </w:t>
            </w:r>
            <w:r>
              <w:rPr>
                <w:lang w:val="en-US"/>
              </w:rPr>
              <w:t>(3)</w:t>
            </w:r>
            <w:r/>
          </w:p>
        </w:tc>
        <w:tc>
          <w:tcPr>
            <w:tcW w:w="1577" w:type="dxa"/>
            <w:gridSpan w:val="2"/>
            <w:tcBorders/>
            <w:shd w:fill="auto" w:val="clear"/>
            <w:tcMar>
              <w:left w:w="108" w:type="dxa"/>
            </w:tcMar>
            <w:vAlign w:val="center"/>
          </w:tcPr>
          <w:p>
            <w:pPr>
              <w:pStyle w:val="Normal"/>
              <w:spacing w:lineRule="auto" w:line="240" w:before="0" w:after="0"/>
              <w:jc w:val="center"/>
              <w:rPr>
                <w:lang w:val="es-ES"/>
              </w:rPr>
            </w:pPr>
            <w:r>
              <w:rPr>
                <w:rFonts w:ascii="Wingdings 2" w:hAnsi="Wingdings 2"/>
                <w:lang w:val="en-US"/>
              </w:rPr>
              <w:t></w:t>
            </w:r>
            <w:r>
              <w:rPr>
                <w:lang w:val="en-US"/>
              </w:rPr>
              <w:t xml:space="preserve"> </w:t>
            </w:r>
            <w:r>
              <w:rPr>
                <w:lang w:val="en-US"/>
              </w:rPr>
              <w:t>(4)</w:t>
            </w:r>
            <w:r/>
          </w:p>
        </w:tc>
        <w:tc>
          <w:tcPr>
            <w:tcW w:w="1368" w:type="dxa"/>
            <w:gridSpan w:val="2"/>
            <w:tcBorders/>
            <w:shd w:fill="auto" w:val="clear"/>
            <w:tcMar>
              <w:left w:w="108" w:type="dxa"/>
            </w:tcMar>
            <w:vAlign w:val="center"/>
          </w:tcPr>
          <w:p>
            <w:pPr>
              <w:pStyle w:val="Normal"/>
              <w:spacing w:lineRule="auto" w:line="240" w:before="0" w:after="0"/>
              <w:jc w:val="center"/>
              <w:rPr>
                <w:lang w:val="es-ES"/>
              </w:rPr>
            </w:pPr>
            <w:r>
              <w:rPr>
                <w:rFonts w:ascii="Wingdings 2" w:hAnsi="Wingdings 2"/>
                <w:lang w:val="en-US"/>
              </w:rPr>
              <w:t></w:t>
            </w:r>
            <w:r>
              <w:rPr>
                <w:lang w:val="en-US"/>
              </w:rPr>
              <w:t xml:space="preserve"> </w:t>
            </w:r>
            <w:r>
              <w:rPr>
                <w:lang w:val="en-US"/>
              </w:rPr>
              <w:t>(7)</w:t>
            </w:r>
            <w:r/>
          </w:p>
        </w:tc>
      </w:tr>
      <w:tr>
        <w:trPr/>
        <w:tc>
          <w:tcPr>
            <w:tcW w:w="1352" w:type="dxa"/>
            <w:tcBorders/>
            <w:shd w:color="auto" w:fill="F2F2F2" w:themeFill="background1" w:themeFillShade="f2" w:val="clear"/>
            <w:tcMar>
              <w:left w:w="108" w:type="dxa"/>
            </w:tcMar>
            <w:vAlign w:val="center"/>
          </w:tcPr>
          <w:p>
            <w:pPr>
              <w:pStyle w:val="Normal"/>
              <w:spacing w:lineRule="auto" w:line="240" w:before="0" w:after="0"/>
              <w:rPr>
                <w:lang w:val="es-ES"/>
              </w:rPr>
            </w:pPr>
            <w:r>
              <w:rPr>
                <w:lang w:val="es-ES"/>
              </w:rPr>
              <w:t>Colectivo 3</w:t>
            </w:r>
            <w:r/>
          </w:p>
        </w:tc>
        <w:tc>
          <w:tcPr>
            <w:tcW w:w="2014" w:type="dxa"/>
            <w:tcBorders/>
            <w:shd w:color="auto" w:fill="F2F2F2" w:themeFill="background1" w:themeFillShade="f2" w:val="clear"/>
            <w:tcMar>
              <w:left w:w="108" w:type="dxa"/>
            </w:tcMar>
            <w:vAlign w:val="center"/>
          </w:tcPr>
          <w:p>
            <w:pPr>
              <w:pStyle w:val="Normal"/>
              <w:spacing w:lineRule="auto" w:line="240" w:before="0" w:after="0"/>
              <w:rPr>
                <w:lang w:val="es-ES"/>
              </w:rPr>
            </w:pPr>
            <w:r>
              <w:rPr>
                <w:lang w:val="es-ES"/>
              </w:rPr>
              <w:t>La Coordinadora</w:t>
            </w:r>
            <w:r/>
          </w:p>
        </w:tc>
        <w:tc>
          <w:tcPr>
            <w:tcW w:w="1637" w:type="dxa"/>
            <w:gridSpan w:val="2"/>
            <w:tcBorders/>
            <w:shd w:fill="auto" w:val="clear"/>
            <w:tcMar>
              <w:left w:w="108" w:type="dxa"/>
            </w:tcMar>
            <w:vAlign w:val="center"/>
          </w:tcPr>
          <w:p>
            <w:pPr>
              <w:pStyle w:val="Normal"/>
              <w:spacing w:lineRule="auto" w:line="240" w:before="0" w:after="0"/>
              <w:jc w:val="center"/>
              <w:rPr>
                <w:lang w:val="es-ES"/>
              </w:rPr>
            </w:pPr>
            <w:r>
              <w:rPr>
                <w:rFonts w:ascii="Wingdings 2" w:hAnsi="Wingdings 2"/>
                <w:lang w:val="en-US"/>
              </w:rPr>
              <w:t></w:t>
            </w:r>
            <w:r>
              <w:rPr>
                <w:lang w:val="en-US"/>
              </w:rPr>
              <w:t xml:space="preserve"> </w:t>
            </w:r>
            <w:r>
              <w:rPr>
                <w:lang w:val="en-US"/>
              </w:rPr>
              <w:t>(2)</w:t>
            </w:r>
            <w:r/>
          </w:p>
        </w:tc>
        <w:tc>
          <w:tcPr>
            <w:tcW w:w="1469" w:type="dxa"/>
            <w:gridSpan w:val="2"/>
            <w:tcBorders/>
            <w:shd w:fill="auto" w:val="clear"/>
            <w:tcMar>
              <w:left w:w="108" w:type="dxa"/>
            </w:tcMar>
            <w:vAlign w:val="center"/>
          </w:tcPr>
          <w:p>
            <w:pPr>
              <w:pStyle w:val="Normal"/>
              <w:spacing w:lineRule="auto" w:line="240" w:before="0" w:after="0"/>
              <w:jc w:val="center"/>
              <w:rPr>
                <w:lang w:val="es-ES"/>
              </w:rPr>
            </w:pPr>
            <w:r>
              <w:rPr>
                <w:lang w:val="es-ES"/>
              </w:rPr>
            </w:r>
            <w:r/>
          </w:p>
        </w:tc>
        <w:tc>
          <w:tcPr>
            <w:tcW w:w="1577" w:type="dxa"/>
            <w:gridSpan w:val="2"/>
            <w:tcBorders/>
            <w:shd w:fill="auto" w:val="clear"/>
            <w:tcMar>
              <w:left w:w="108" w:type="dxa"/>
            </w:tcMar>
            <w:vAlign w:val="center"/>
          </w:tcPr>
          <w:p>
            <w:pPr>
              <w:pStyle w:val="Normal"/>
              <w:spacing w:lineRule="auto" w:line="240" w:before="0" w:after="0"/>
              <w:jc w:val="center"/>
              <w:rPr>
                <w:lang w:val="es-ES"/>
              </w:rPr>
            </w:pPr>
            <w:r>
              <w:rPr>
                <w:rFonts w:ascii="Wingdings 2" w:hAnsi="Wingdings 2"/>
                <w:lang w:val="en-US"/>
              </w:rPr>
              <w:t></w:t>
            </w:r>
            <w:r>
              <w:rPr>
                <w:lang w:val="en-US"/>
              </w:rPr>
              <w:t xml:space="preserve"> </w:t>
            </w:r>
            <w:r>
              <w:rPr>
                <w:lang w:val="en-US"/>
              </w:rPr>
              <w:t>(5)</w:t>
            </w:r>
            <w:r/>
          </w:p>
        </w:tc>
        <w:tc>
          <w:tcPr>
            <w:tcW w:w="1368" w:type="dxa"/>
            <w:gridSpan w:val="2"/>
            <w:tcBorders/>
            <w:shd w:fill="auto" w:val="clear"/>
            <w:tcMar>
              <w:left w:w="108" w:type="dxa"/>
            </w:tcMar>
            <w:vAlign w:val="center"/>
          </w:tcPr>
          <w:p>
            <w:pPr>
              <w:pStyle w:val="Normal"/>
              <w:spacing w:lineRule="auto" w:line="240" w:before="0" w:after="0"/>
              <w:jc w:val="center"/>
              <w:rPr>
                <w:lang w:val="es-ES"/>
              </w:rPr>
            </w:pPr>
            <w:r>
              <w:rPr>
                <w:lang w:val="es-ES"/>
              </w:rPr>
            </w:r>
            <w:r/>
          </w:p>
        </w:tc>
      </w:tr>
    </w:tbl>
    <w:p>
      <w:pPr>
        <w:pStyle w:val="Normal"/>
        <w:rPr>
          <w:lang w:val="es-ES"/>
        </w:rPr>
      </w:pPr>
      <w:r>
        <w:rPr>
          <w:lang w:val="es-ES"/>
        </w:rPr>
      </w:r>
      <w:r/>
    </w:p>
    <w:p>
      <w:pPr>
        <w:pStyle w:val="ListParagraph"/>
        <w:numPr>
          <w:ilvl w:val="0"/>
          <w:numId w:val="7"/>
        </w:numPr>
        <w:rPr>
          <w:lang w:val="es-ES"/>
        </w:rPr>
      </w:pPr>
      <w:r>
        <w:rPr>
          <w:b/>
          <w:lang w:val="es-ES"/>
        </w:rPr>
        <w:t>Grupo de Facebook</w:t>
      </w:r>
      <w:r>
        <w:rPr>
          <w:lang w:val="es-ES"/>
        </w:rPr>
        <w:t xml:space="preserve"> </w:t>
      </w:r>
      <w:r>
        <w:rPr>
          <w:b/>
          <w:lang w:val="es-ES"/>
        </w:rPr>
        <w:t>Podemos Londres</w:t>
      </w:r>
      <w:r>
        <w:rPr>
          <w:lang w:val="es-ES"/>
        </w:rPr>
        <w:t>. Este grupo de Facebook tendrá las siguientes funciones:</w:t>
      </w:r>
      <w:r/>
    </w:p>
    <w:p>
      <w:pPr>
        <w:pStyle w:val="ListParagraph"/>
        <w:numPr>
          <w:ilvl w:val="1"/>
          <w:numId w:val="7"/>
        </w:numPr>
        <w:rPr>
          <w:lang w:val="es-ES"/>
        </w:rPr>
      </w:pPr>
      <w:r>
        <w:rPr>
          <w:lang w:val="es-ES"/>
        </w:rPr>
        <w:t>Comunicación y difusión de asuntos internos del Círculo</w:t>
      </w:r>
      <w:r/>
    </w:p>
    <w:p>
      <w:pPr>
        <w:pStyle w:val="ListParagraph"/>
        <w:numPr>
          <w:ilvl w:val="1"/>
          <w:numId w:val="7"/>
        </w:numPr>
        <w:rPr>
          <w:lang w:val="es-ES"/>
        </w:rPr>
      </w:pPr>
      <w:r>
        <w:rPr>
          <w:lang w:val="es-ES"/>
        </w:rPr>
        <w:t>Convocar y anunciar eventos (Asambleas, acciones, actos, etc.)</w:t>
      </w:r>
      <w:r/>
    </w:p>
    <w:p>
      <w:pPr>
        <w:pStyle w:val="ListParagraph"/>
        <w:numPr>
          <w:ilvl w:val="0"/>
          <w:numId w:val="7"/>
        </w:numPr>
        <w:rPr>
          <w:lang w:val="es-ES"/>
        </w:rPr>
      </w:pPr>
      <w:r>
        <w:rPr>
          <w:b/>
          <w:lang w:val="es-ES"/>
        </w:rPr>
        <w:t>Grupo secreto de Facebook de la Coordinadora</w:t>
      </w:r>
      <w:r>
        <w:rPr>
          <w:lang w:val="es-ES"/>
        </w:rPr>
        <w:t>. Se trata del grupo “Coordinadores Círculo Londres” que existe en la actualidad, y será ampliado a las nuevas personas que se incorporen a la Coordinadora del Círculo</w:t>
      </w:r>
      <w:r/>
    </w:p>
    <w:p>
      <w:pPr>
        <w:pStyle w:val="ListParagraph"/>
        <w:numPr>
          <w:ilvl w:val="0"/>
          <w:numId w:val="7"/>
        </w:numPr>
        <w:rPr>
          <w:lang w:val="es-ES"/>
        </w:rPr>
      </w:pPr>
      <w:r>
        <w:rPr>
          <w:b/>
          <w:lang w:val="es-ES"/>
        </w:rPr>
        <w:t>Loomio de miembros de los GT</w:t>
      </w:r>
      <w:r>
        <w:rPr>
          <w:lang w:val="es-ES"/>
        </w:rPr>
        <w:t>, para facilitar el debate y la toma de decisiones</w:t>
      </w:r>
      <w:r/>
    </w:p>
    <w:p>
      <w:pPr>
        <w:pStyle w:val="ListParagraph"/>
        <w:numPr>
          <w:ilvl w:val="0"/>
          <w:numId w:val="7"/>
        </w:numPr>
        <w:rPr>
          <w:lang w:val="es-ES"/>
        </w:rPr>
      </w:pPr>
      <w:r>
        <w:rPr>
          <w:b/>
          <w:lang w:val="es-ES"/>
        </w:rPr>
        <w:t>Pads</w:t>
      </w:r>
      <w:r>
        <w:rPr>
          <w:lang w:val="es-ES"/>
        </w:rPr>
        <w:t xml:space="preserve"> específicos cuando se considere necesario</w:t>
      </w:r>
      <w:r/>
    </w:p>
    <w:p>
      <w:pPr>
        <w:pStyle w:val="ListParagraph"/>
        <w:numPr>
          <w:ilvl w:val="0"/>
          <w:numId w:val="7"/>
        </w:numPr>
        <w:rPr>
          <w:lang w:val="es-ES"/>
        </w:rPr>
      </w:pPr>
      <w:r>
        <w:rPr>
          <w:b/>
          <w:lang w:val="es-ES"/>
        </w:rPr>
        <w:t>Pads</w:t>
      </w:r>
      <w:r>
        <w:rPr>
          <w:lang w:val="es-ES"/>
        </w:rPr>
        <w:t xml:space="preserve"> específicos cuando se considere necesario</w:t>
      </w:r>
      <w:r/>
    </w:p>
    <w:p>
      <w:pPr>
        <w:pStyle w:val="ListParagraph"/>
        <w:numPr>
          <w:ilvl w:val="0"/>
          <w:numId w:val="7"/>
        </w:numPr>
        <w:rPr>
          <w:lang w:val="es-ES"/>
        </w:rPr>
      </w:pPr>
      <w:r>
        <w:rPr>
          <w:b/>
          <w:lang w:val="es-ES"/>
        </w:rPr>
        <w:t>Lista de email</w:t>
      </w:r>
      <w:r>
        <w:rPr>
          <w:lang w:val="es-ES"/>
        </w:rPr>
        <w:t xml:space="preserve"> </w:t>
      </w:r>
      <w:r>
        <w:rPr>
          <w:b/>
          <w:lang w:val="es-ES"/>
        </w:rPr>
        <w:t>de la Asamblea de Londres</w:t>
      </w:r>
      <w:r>
        <w:rPr>
          <w:lang w:val="es-ES"/>
        </w:rPr>
        <w:t>, a través de la cual sólo se enviará información sobre eventos, asambleas y si hubiera algo importante como el aval de candidatos, boletín mensual, etc.</w:t>
      </w:r>
      <w:r/>
    </w:p>
    <w:p>
      <w:pPr>
        <w:pStyle w:val="ListParagraph"/>
        <w:numPr>
          <w:ilvl w:val="0"/>
          <w:numId w:val="7"/>
        </w:numPr>
        <w:rPr>
          <w:lang w:val="es-ES"/>
        </w:rPr>
      </w:pPr>
      <w:r>
        <w:rPr>
          <w:b/>
          <w:lang w:val="es-ES"/>
        </w:rPr>
        <w:t>Lista de email</w:t>
      </w:r>
      <w:r>
        <w:rPr>
          <w:lang w:val="es-ES"/>
        </w:rPr>
        <w:t xml:space="preserve"> </w:t>
      </w:r>
      <w:r>
        <w:rPr>
          <w:b/>
          <w:lang w:val="es-ES"/>
        </w:rPr>
        <w:t>de miembros de los GT</w:t>
      </w:r>
      <w:r>
        <w:rPr>
          <w:lang w:val="es-ES"/>
        </w:rPr>
        <w:t>, donde además se enviará información sobre temas organizativos y/o se podrá usar para pedir colaboraciones, organizar, etc.</w:t>
      </w:r>
      <w:r/>
    </w:p>
    <w:p>
      <w:pPr>
        <w:pStyle w:val="Encabezado4"/>
        <w:rPr>
          <w:lang w:val="es-ES"/>
        </w:rPr>
      </w:pPr>
      <w:r>
        <w:rPr>
          <w:lang w:val="es-ES"/>
        </w:rPr>
        <w:t>Facebook</w:t>
      </w:r>
      <w:r/>
    </w:p>
    <w:p>
      <w:pPr>
        <w:pStyle w:val="Normal"/>
        <w:rPr>
          <w:lang w:val="es-ES"/>
        </w:rPr>
      </w:pPr>
      <w:r>
        <w:rPr>
          <w:lang w:val="es-ES"/>
        </w:rPr>
        <w:t xml:space="preserve">El </w:t>
      </w:r>
      <w:r>
        <w:rPr>
          <w:b/>
          <w:lang w:val="es-ES"/>
        </w:rPr>
        <w:t>perfil de usuario</w:t>
      </w:r>
      <w:r>
        <w:rPr>
          <w:lang w:val="es-ES"/>
        </w:rPr>
        <w:t xml:space="preserve"> del Círculo de Londres fue clausurado por Facebook por no ser una persona. Es necesario crear otro perfil, que se utilizará para todas las comunicaciones oficiales de nuestro Círculo y para la publicación de documentos y eventos. Se abrirá una encuesta para elegir el nombre de este perfil.</w:t>
      </w:r>
      <w:r/>
    </w:p>
    <w:p>
      <w:pPr>
        <w:pStyle w:val="Normal"/>
        <w:rPr>
          <w:b/>
          <w:b/>
          <w:lang w:val="es-ES"/>
        </w:rPr>
      </w:pPr>
      <w:r>
        <w:rPr>
          <w:lang w:val="es-ES"/>
        </w:rPr>
        <w:t xml:space="preserve">Sobre el </w:t>
      </w:r>
      <w:r>
        <w:rPr>
          <w:b/>
          <w:lang w:val="es-ES"/>
        </w:rPr>
        <w:t>grupo de Facebook del Círculo de Londres:</w:t>
      </w:r>
      <w:r/>
    </w:p>
    <w:p>
      <w:pPr>
        <w:pStyle w:val="ListParagraph"/>
        <w:numPr>
          <w:ilvl w:val="0"/>
          <w:numId w:val="10"/>
        </w:numPr>
        <w:rPr>
          <w:lang w:val="es-ES"/>
        </w:rPr>
      </w:pPr>
      <w:r>
        <w:rPr>
          <w:lang w:val="es-ES"/>
        </w:rPr>
        <w:t>está destinado para asuntos y debates de funcionamiento interno o que se consideren de interés general para el Círculo</w:t>
      </w:r>
      <w:r>
        <w:rPr>
          <w:rStyle w:val="Ancladenotaalpie"/>
          <w:lang w:val="es-ES"/>
        </w:rPr>
        <w:footnoteReference w:id="9"/>
      </w:r>
      <w:r/>
    </w:p>
    <w:p>
      <w:pPr>
        <w:pStyle w:val="ListParagraph"/>
        <w:numPr>
          <w:ilvl w:val="0"/>
          <w:numId w:val="10"/>
        </w:numPr>
        <w:rPr>
          <w:lang w:val="es-ES"/>
        </w:rPr>
      </w:pPr>
      <w:r>
        <w:rPr>
          <w:lang w:val="es-ES"/>
        </w:rPr>
        <w:t>no debe ser utilizado como tablón de noticias procedentes de otros medios</w:t>
      </w:r>
      <w:r/>
    </w:p>
    <w:p>
      <w:pPr>
        <w:pStyle w:val="ListParagraph"/>
        <w:numPr>
          <w:ilvl w:val="0"/>
          <w:numId w:val="10"/>
        </w:numPr>
        <w:rPr>
          <w:lang w:val="es-ES"/>
        </w:rPr>
      </w:pPr>
      <w:r>
        <w:rPr>
          <w:lang w:val="es-ES"/>
        </w:rPr>
        <w:t>no obstante, si alguien considera de interés general publicar una noticia con el fin de abrir un debate sobre ella, se acuerda limitar los posts a uno por persona y día</w:t>
      </w:r>
      <w:r/>
    </w:p>
    <w:p>
      <w:pPr>
        <w:pStyle w:val="ListParagraph"/>
        <w:numPr>
          <w:ilvl w:val="0"/>
          <w:numId w:val="10"/>
        </w:numPr>
        <w:rPr>
          <w:lang w:val="es-ES"/>
        </w:rPr>
      </w:pPr>
      <w:r>
        <w:rPr>
          <w:lang w:val="es-ES"/>
        </w:rPr>
        <w:t>es importante que los miembros del Círculos observen moderación con las publicaciones en este grupo de Facebook, y que recuerden que para cualquier debate que quieran desarrollar tienen a su disposición la herramienta Plaza Podemos.</w:t>
      </w:r>
      <w:r/>
    </w:p>
    <w:p>
      <w:pPr>
        <w:pStyle w:val="Normal"/>
        <w:rPr>
          <w:lang w:val="es-ES"/>
        </w:rPr>
      </w:pPr>
      <w:r>
        <w:rPr>
          <w:lang w:val="es-ES"/>
        </w:rPr>
        <w:t xml:space="preserve">Próximamente se elaborará una </w:t>
      </w:r>
      <w:r>
        <w:rPr>
          <w:b/>
          <w:lang w:val="es-ES"/>
        </w:rPr>
        <w:t>guía de buenas prácticas</w:t>
      </w:r>
      <w:r>
        <w:rPr>
          <w:lang w:val="es-ES"/>
        </w:rPr>
        <w:t>, uso y comportamiento en las redes sociales.</w:t>
      </w:r>
      <w:r/>
    </w:p>
    <w:p>
      <w:pPr>
        <w:pStyle w:val="Normal"/>
        <w:rPr>
          <w:sz w:val="24"/>
          <w:b/>
          <w:sz w:val="24"/>
          <w:b/>
          <w:szCs w:val="32"/>
          <w:rFonts w:ascii="Calibri Light" w:hAnsi="Calibri Light" w:eastAsia="" w:cs="" w:asciiTheme="majorHAnsi" w:cstheme="majorBidi" w:eastAsiaTheme="majorEastAsia" w:hAnsiTheme="majorHAnsi"/>
          <w:color w:val="7030A0"/>
          <w:lang w:val="es-ES"/>
        </w:rPr>
      </w:pPr>
      <w:r>
        <w:rPr>
          <w:rFonts w:eastAsia="" w:cs="" w:cstheme="majorBidi" w:eastAsiaTheme="majorEastAsia" w:ascii="Calibri Light" w:hAnsi="Calibri Light"/>
          <w:b/>
          <w:color w:val="7030A0"/>
          <w:sz w:val="24"/>
          <w:szCs w:val="32"/>
          <w:lang w:val="es-ES"/>
        </w:rPr>
      </w:r>
      <w:r>
        <w:br w:type="page"/>
      </w:r>
      <w:r/>
    </w:p>
    <w:p>
      <w:pPr>
        <w:pStyle w:val="Encabezado1"/>
        <w:rPr>
          <w:sz w:val="24"/>
          <w:sz w:val="24"/>
          <w:lang w:val="es-ES"/>
        </w:rPr>
      </w:pPr>
      <w:bookmarkStart w:id="9" w:name="_Toc409633691"/>
      <w:r>
        <w:rPr>
          <w:sz w:val="24"/>
          <w:lang w:val="es-ES"/>
        </w:rPr>
        <w:t>La Organización de Asambleas</w:t>
      </w:r>
      <w:bookmarkEnd w:id="9"/>
      <w:r>
        <w:rPr>
          <w:rStyle w:val="Ancladenotaalpie"/>
          <w:sz w:val="24"/>
          <w:lang w:val="es-ES"/>
        </w:rPr>
        <w:footnoteReference w:id="10"/>
      </w:r>
      <w:r/>
    </w:p>
    <w:p>
      <w:pPr>
        <w:pStyle w:val="Normal"/>
        <w:rPr>
          <w:lang w:val="es-ES"/>
        </w:rPr>
      </w:pPr>
      <w:r>
        <w:rPr>
          <w:lang w:val="es-ES"/>
        </w:rPr>
        <w:t>Sobre los debates políticos a realizar en las asambleas se acordó que estos durarán entre 30-45 minutos y serán introducidos por una persona interesada en preparar la introducción y, en los casos en que sea posible o necesario, por una persona especializada en el tema.</w:t>
      </w:r>
      <w:r/>
    </w:p>
    <w:p>
      <w:pPr>
        <w:pStyle w:val="Normal"/>
        <w:rPr>
          <w:lang w:val="es-ES"/>
        </w:rPr>
      </w:pPr>
      <w:r>
        <w:rPr>
          <w:lang w:val="es-ES"/>
        </w:rPr>
        <w:t>Se plantearon diferentes métodos para decidir los temas a tratar en cada asamblea:</w:t>
      </w:r>
      <w:r/>
    </w:p>
    <w:p>
      <w:pPr>
        <w:pStyle w:val="ListParagraph"/>
        <w:numPr>
          <w:ilvl w:val="1"/>
          <w:numId w:val="12"/>
        </w:numPr>
        <w:rPr>
          <w:lang w:val="es-ES"/>
        </w:rPr>
      </w:pPr>
      <w:r>
        <w:rPr>
          <w:lang w:val="es-ES"/>
        </w:rPr>
        <w:t>TitanPad para recoger sugerencias</w:t>
      </w:r>
      <w:r/>
    </w:p>
    <w:p>
      <w:pPr>
        <w:pStyle w:val="ListParagraph"/>
        <w:numPr>
          <w:ilvl w:val="1"/>
          <w:numId w:val="12"/>
        </w:numPr>
        <w:rPr>
          <w:lang w:val="es-ES"/>
        </w:rPr>
      </w:pPr>
      <w:r>
        <w:rPr>
          <w:lang w:val="es-ES"/>
        </w:rPr>
        <w:t>Votación en asamblea</w:t>
      </w:r>
      <w:r/>
    </w:p>
    <w:p>
      <w:pPr>
        <w:pStyle w:val="ListParagraph"/>
        <w:numPr>
          <w:ilvl w:val="1"/>
          <w:numId w:val="12"/>
        </w:numPr>
        <w:rPr>
          <w:lang w:val="es-ES"/>
        </w:rPr>
      </w:pPr>
      <w:r>
        <w:rPr>
          <w:lang w:val="es-ES"/>
        </w:rPr>
        <w:t>Votación por internet</w:t>
      </w:r>
      <w:r/>
    </w:p>
    <w:p>
      <w:pPr>
        <w:pStyle w:val="Normal"/>
        <w:rPr>
          <w:lang w:val="es-ES"/>
        </w:rPr>
      </w:pPr>
      <w:r>
        <w:rPr>
          <w:lang w:val="es-ES"/>
        </w:rPr>
        <w:t>Los temas tratados en las asambleas deberán relacionarse con el programa político de Podemos para explicar dicho programa y conocer en qué línea se posiciona Podemos como partido político.</w:t>
      </w:r>
      <w:r/>
    </w:p>
    <w:p>
      <w:pPr>
        <w:pStyle w:val="Normal"/>
        <w:rPr>
          <w:lang w:val="es-ES"/>
        </w:rPr>
      </w:pPr>
      <w:r>
        <w:rPr>
          <w:lang w:val="es-ES"/>
        </w:rPr>
        <w:t>Sobre la decisión de la fecha de las siguientes asambleas se planteó fijar los días de las próximas asambleas (para los dos próximos meses) para facilitar la preparación de los temas y la invitación de ponentes, en caso necesario.</w:t>
      </w:r>
      <w:r/>
    </w:p>
    <w:p>
      <w:pPr>
        <w:pStyle w:val="Encabezado1"/>
        <w:rPr>
          <w:sz w:val="24"/>
          <w:sz w:val="24"/>
          <w:lang w:val="es-ES"/>
        </w:rPr>
      </w:pPr>
      <w:bookmarkStart w:id="10" w:name="_Toc409633692"/>
      <w:r>
        <w:rPr>
          <w:sz w:val="24"/>
          <w:lang w:val="es-ES"/>
        </w:rPr>
        <w:t>Bienvenida a las personas nuevas</w:t>
      </w:r>
      <w:bookmarkEnd w:id="10"/>
      <w:r>
        <w:rPr>
          <w:rStyle w:val="Ancladenotaalpie"/>
          <w:sz w:val="24"/>
          <w:lang w:val="es-ES"/>
        </w:rPr>
        <w:footnoteReference w:id="11"/>
      </w:r>
      <w:r/>
    </w:p>
    <w:p>
      <w:pPr>
        <w:pStyle w:val="Normal"/>
        <w:rPr>
          <w:lang w:val="es-ES"/>
        </w:rPr>
      </w:pPr>
      <w:r>
        <w:rPr>
          <w:lang w:val="es-ES"/>
        </w:rPr>
        <w:t>Se planteó la posibilidad de realizar tarjetas u octavillas con las diferentes formas de acceder a la información del Circulo y de los grupos de trabajo para repartirlas entre la gente que venga por primera vez a las asambleas, con el objetivo de facilitar el acceso a la información y a las decisiones tomadas con anterioridad.</w:t>
      </w:r>
      <w:r/>
    </w:p>
    <w:p>
      <w:pPr>
        <w:pStyle w:val="Normal"/>
        <w:rPr>
          <w:sz w:val="24"/>
          <w:b/>
          <w:sz w:val="24"/>
          <w:b/>
          <w:szCs w:val="32"/>
          <w:rFonts w:ascii="Calibri Light" w:hAnsi="Calibri Light" w:eastAsia="" w:cs="" w:asciiTheme="majorHAnsi" w:cstheme="majorBidi" w:eastAsiaTheme="majorEastAsia" w:hAnsiTheme="majorHAnsi"/>
          <w:color w:val="7030A0"/>
          <w:lang w:val="es-ES"/>
        </w:rPr>
      </w:pPr>
      <w:r>
        <w:rPr>
          <w:rFonts w:eastAsia="" w:cs="" w:cstheme="majorBidi" w:eastAsiaTheme="majorEastAsia" w:ascii="Calibri Light" w:hAnsi="Calibri Light"/>
          <w:b/>
          <w:color w:val="7030A0"/>
          <w:sz w:val="24"/>
          <w:szCs w:val="32"/>
          <w:lang w:val="es-ES"/>
        </w:rPr>
      </w:r>
      <w:r>
        <w:br w:type="page"/>
      </w:r>
      <w:r/>
    </w:p>
    <w:p>
      <w:pPr>
        <w:pStyle w:val="Encabezado1"/>
        <w:rPr>
          <w:sz w:val="24"/>
          <w:sz w:val="24"/>
          <w:lang w:val="es-ES"/>
        </w:rPr>
      </w:pPr>
      <w:bookmarkStart w:id="11" w:name="_Toc409633693"/>
      <w:bookmarkEnd w:id="11"/>
      <w:r>
        <w:rPr>
          <w:sz w:val="24"/>
          <w:lang w:val="es-ES"/>
        </w:rPr>
        <w:t>Control y cumplimiento de los acuerdos organizativos</w:t>
      </w:r>
      <w:r/>
    </w:p>
    <w:p>
      <w:pPr>
        <w:pStyle w:val="Normal"/>
        <w:rPr>
          <w:lang w:val="es-ES"/>
        </w:rPr>
      </w:pPr>
      <w:r>
        <w:rPr>
          <w:lang w:val="es-ES"/>
        </w:rPr>
        <w:t>Se establece un procedimiento básico para que los miembros del Círculo de Londres se adhieran a los acuerdos organizativos.</w:t>
      </w:r>
      <w:r/>
    </w:p>
    <w:p>
      <w:pPr>
        <w:pStyle w:val="ListParagraph"/>
        <w:numPr>
          <w:ilvl w:val="0"/>
          <w:numId w:val="9"/>
        </w:numPr>
        <w:rPr>
          <w:lang w:val="es-ES"/>
        </w:rPr>
      </w:pPr>
      <w:r>
        <w:rPr>
          <w:lang w:val="es-ES"/>
        </w:rPr>
        <w:t>En el caso de que algún miembro del Círculo observe incumplimiento de los acuerdos por parte de otro miembro del Círculo, deberá comunicárselo al GT de Coordinación, acompañando las evidencias correspondientes</w:t>
      </w:r>
      <w:r/>
    </w:p>
    <w:p>
      <w:pPr>
        <w:pStyle w:val="ListParagraph"/>
        <w:numPr>
          <w:ilvl w:val="0"/>
          <w:numId w:val="9"/>
        </w:numPr>
        <w:rPr>
          <w:lang w:val="es-ES"/>
        </w:rPr>
      </w:pPr>
      <w:r>
        <w:rPr>
          <w:lang w:val="es-ES"/>
        </w:rPr>
        <w:t>El GT de Coordinación analizará estas evidencias y determinará si la acusación tiene fundamento o no</w:t>
      </w:r>
      <w:r/>
    </w:p>
    <w:p>
      <w:pPr>
        <w:pStyle w:val="ListParagraph"/>
        <w:numPr>
          <w:ilvl w:val="0"/>
          <w:numId w:val="9"/>
        </w:numPr>
        <w:rPr>
          <w:lang w:val="es-ES"/>
        </w:rPr>
      </w:pPr>
      <w:r>
        <w:rPr>
          <w:lang w:val="es-ES"/>
        </w:rPr>
        <w:t>En el caso de que se corrobore el incumplimiento de los acuerdos, el GT de Coordinación enviará un aviso a la persona interesada</w:t>
      </w:r>
      <w:r/>
    </w:p>
    <w:p>
      <w:pPr>
        <w:pStyle w:val="ListParagraph"/>
        <w:numPr>
          <w:ilvl w:val="0"/>
          <w:numId w:val="9"/>
        </w:numPr>
        <w:rPr>
          <w:lang w:val="es-ES"/>
        </w:rPr>
      </w:pPr>
      <w:r>
        <w:rPr>
          <w:lang w:val="es-ES"/>
        </w:rPr>
        <w:t xml:space="preserve">En el caso de que se envíen </w:t>
      </w:r>
      <w:r>
        <w:rPr>
          <w:b/>
          <w:lang w:val="es-ES"/>
        </w:rPr>
        <w:t>5 avisos durante un período de 3 meses</w:t>
      </w:r>
      <w:r>
        <w:rPr>
          <w:lang w:val="es-ES"/>
        </w:rPr>
        <w:t xml:space="preserve">, sin que se observe un cambio de actitud por parte de la persona interesada, ésta será desprovista temporalmente de sus responsabilidades dentro del Círculo (dándose de baja de las herramientas correspondientes) durante un período de </w:t>
      </w:r>
      <w:r>
        <w:rPr>
          <w:b/>
          <w:lang w:val="es-ES"/>
        </w:rPr>
        <w:t>un mes</w:t>
      </w:r>
      <w:r>
        <w:rPr>
          <w:lang w:val="es-ES"/>
        </w:rPr>
        <w:t>.</w:t>
      </w:r>
      <w:r/>
    </w:p>
    <w:p>
      <w:pPr>
        <w:pStyle w:val="Encabezado1"/>
        <w:rPr>
          <w:sz w:val="24"/>
          <w:sz w:val="24"/>
          <w:lang w:val="es-ES"/>
        </w:rPr>
      </w:pPr>
      <w:bookmarkStart w:id="12" w:name="_Toc409633694"/>
      <w:r>
        <w:rPr>
          <w:sz w:val="24"/>
          <w:lang w:val="es-ES"/>
        </w:rPr>
        <w:t>Mejora y evolución de los acuerdos organizativos</w:t>
      </w:r>
      <w:bookmarkEnd w:id="12"/>
      <w:r>
        <w:rPr>
          <w:rStyle w:val="Ancladenotaalpie"/>
          <w:sz w:val="24"/>
          <w:lang w:val="es-ES"/>
        </w:rPr>
        <w:footnoteReference w:id="12"/>
      </w:r>
      <w:r/>
    </w:p>
    <w:p>
      <w:pPr>
        <w:pStyle w:val="Normal"/>
        <w:rPr>
          <w:lang w:val="es-ES"/>
        </w:rPr>
      </w:pPr>
      <w:r>
        <w:rPr>
          <w:lang w:val="es-ES"/>
        </w:rPr>
        <w:t>Con el fin de seguir mejorando y complementando estos acuerdos organizativos se realizarán comisiones organizativas de forma periódica, aproximadamente cada 2 meses y medio.</w:t>
      </w:r>
      <w:r/>
    </w:p>
    <w:p>
      <w:pPr>
        <w:pStyle w:val="Normal"/>
      </w:pPr>
      <w:r>
        <w:rPr>
          <w:lang w:val="es-ES"/>
        </w:rPr>
        <w:t>Es necesario que a estas reuniones acuda, al menos, un coordinador de cada GT. En el caso de que ningún coordinador de un GT pueda acudir, deberá delegar en un miembro de su GT.</w:t>
      </w:r>
      <w:r/>
    </w:p>
    <w:sectPr>
      <w:headerReference w:type="default" r:id="rId3"/>
      <w:footerReference w:type="default" r:id="rId4"/>
      <w:footnotePr>
        <w:numFmt w:val="decimal"/>
      </w:footnotePr>
      <w:type w:val="nextPage"/>
      <w:pgSz w:w="11906" w:h="16838"/>
      <w:pgMar w:left="1440" w:right="1440" w:header="708" w:top="1440" w:footer="708" w:bottom="1440" w:gutter="0"/>
      <w:pgNumType w:fmt="decimal"/>
      <w:formProt w:val="false"/>
      <w:textDirection w:val="lrTb"/>
      <w:docGrid w:type="default" w:linePitch="360" w:charSpace="4294965247"/>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Calibri Light">
    <w:charset w:val="00"/>
    <w:family w:val="roman"/>
    <w:pitch w:val="variable"/>
  </w:font>
  <w:font w:name="Tahoma">
    <w:charset w:val="00"/>
    <w:family w:val="roman"/>
    <w:pitch w:val="variable"/>
  </w:font>
  <w:font w:name="Liberation Sans">
    <w:altName w:val="Arial"/>
    <w:charset w:val="00"/>
    <w:family w:val="swiss"/>
    <w:pitch w:val="variable"/>
  </w:font>
  <w:font w:name="Wingdings 2">
    <w:charset w:val="00"/>
    <w:family w:val="roman"/>
    <w:pitch w:val="variable"/>
  </w:font>
  <w:font w:name="Courier New">
    <w:charset w:val="01"/>
    <w:family w:val="modern"/>
    <w:pitch w:val="fixed"/>
  </w:font>
  <w:font w:name="Wingdings">
    <w:charset w:val="02"/>
    <w:family w:val="auto"/>
    <w:pitch w:val="variable"/>
  </w:font>
  <w:font w:name="Calibri">
    <w:charset w:val="01"/>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Bottom of Page)"/>
        <w:docPartUnique w:val=""/>
      </w:docPartObj>
    </w:sdtPr>
    <w:sdtContent>
      <w:p>
        <w:pPr>
          <w:pStyle w:val="Piedepgina"/>
          <w:pBdr>
            <w:top w:val="single" w:sz="4" w:space="1" w:color="D9D9D9"/>
          </w:pBdr>
          <w:jc w:val="right"/>
        </w:pPr>
        <w:r>
          <w:rPr/>
          <w:fldChar w:fldCharType="begin"/>
        </w:r>
        <w:r>
          <w:instrText> PAGE </w:instrText>
        </w:r>
        <w:r>
          <w:fldChar w:fldCharType="separate"/>
        </w:r>
        <w:r>
          <w:t>12</w:t>
        </w:r>
        <w:r>
          <w:fldChar w:fldCharType="end"/>
        </w:r>
        <w:r>
          <w:rPr/>
          <w:t xml:space="preserve"> </w:t>
        </w:r>
        <w:r>
          <w:rPr/>
          <w:t xml:space="preserve">| </w:t>
        </w:r>
        <w:r>
          <w:rPr>
            <w:color w:val="7F7F7F" w:themeColor="background1" w:themeShade="7f"/>
            <w:spacing w:val="60"/>
          </w:rPr>
          <w:t>Página</w:t>
        </w:r>
        <w:r/>
      </w:p>
    </w:sdtContent>
  </w:sdt>
  <w:p>
    <w:pPr>
      <w:pStyle w:val="Piedepgina"/>
    </w:pPr>
    <w:r>
      <w:rPr/>
    </w:r>
    <w:r/>
  </w:p>
</w:ftr>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footnote w:id="0" w:type="separator">
    <w:p>
      <w:r>
        <w:separator/>
      </w:r>
    </w:p>
  </w:footnote>
  <w:footnote w:id="1" w:type="continuationSeparator">
    <w:p>
      <w:r>
        <w:continuationSeparator/>
      </w:r>
    </w:p>
  </w:footnote>
  <w:footnote w:id="2">
    <w:p>
      <w:pPr>
        <w:pStyle w:val="Notaalpie"/>
      </w:pPr>
      <w:r>
        <w:rPr>
          <w:rStyle w:val="Footnotereference"/>
        </w:rPr>
        <w:footnoteRef/>
        <w:tab/>
      </w:r>
      <w:r>
        <w:rPr>
          <w:lang w:val="es-ES"/>
        </w:rPr>
        <w:t xml:space="preserve"> </w:t>
      </w:r>
      <w:r>
        <w:rPr>
          <w:lang w:val="es-ES"/>
        </w:rPr>
        <w:t>Acordado en la Comisión de Organización del 27 de Julio</w:t>
      </w:r>
      <w:r/>
    </w:p>
  </w:footnote>
  <w:footnote w:id="3">
    <w:p>
      <w:pPr>
        <w:pStyle w:val="Notaalpie"/>
      </w:pPr>
      <w:r>
        <w:rPr>
          <w:rStyle w:val="Footnotereference"/>
        </w:rPr>
        <w:footnoteRef/>
        <w:tab/>
      </w:r>
      <w:r>
        <w:rPr>
          <w:lang w:val="es-ES"/>
        </w:rPr>
        <w:t xml:space="preserve"> </w:t>
      </w:r>
      <w:r>
        <w:rPr>
          <w:lang w:val="es-ES"/>
        </w:rPr>
        <w:t>Ampliación y adaptación de los asuntos acordados el 27 de julio</w:t>
      </w:r>
      <w:r/>
    </w:p>
  </w:footnote>
  <w:footnote w:id="4">
    <w:p>
      <w:pPr>
        <w:pStyle w:val="Notaalpie"/>
      </w:pPr>
      <w:r>
        <w:rPr>
          <w:rStyle w:val="Footnotereference"/>
        </w:rPr>
        <w:footnoteRef/>
        <w:tab/>
      </w:r>
      <w:r>
        <w:rPr>
          <w:lang w:val="es-ES"/>
        </w:rPr>
        <w:t xml:space="preserve"> </w:t>
      </w:r>
      <w:r>
        <w:rPr>
          <w:lang w:val="es-ES"/>
        </w:rPr>
        <w:t>Acordado en la Comisión de Organización del 27 de Julio</w:t>
      </w:r>
      <w:r/>
    </w:p>
  </w:footnote>
  <w:footnote w:id="5">
    <w:p>
      <w:pPr>
        <w:pStyle w:val="Notaalpie"/>
      </w:pPr>
      <w:r>
        <w:rPr>
          <w:rStyle w:val="Footnotereference"/>
        </w:rPr>
        <w:footnoteRef/>
        <w:tab/>
      </w:r>
      <w:r>
        <w:rPr>
          <w:lang w:val="es-ES"/>
        </w:rPr>
        <w:t xml:space="preserve"> </w:t>
      </w:r>
      <w:r>
        <w:rPr>
          <w:lang w:val="es-ES"/>
        </w:rPr>
        <w:t>Acordado en la Comisión de Organización del 27 de Julio</w:t>
      </w:r>
      <w:r/>
    </w:p>
  </w:footnote>
  <w:footnote w:id="6">
    <w:p>
      <w:pPr>
        <w:pStyle w:val="Notaalpie"/>
      </w:pPr>
      <w:r>
        <w:rPr>
          <w:rStyle w:val="Footnotereference"/>
        </w:rPr>
        <w:footnoteRef/>
        <w:tab/>
      </w:r>
      <w:r>
        <w:rPr>
          <w:lang w:val="es-ES"/>
        </w:rPr>
        <w:t xml:space="preserve"> </w:t>
      </w:r>
      <w:r>
        <w:rPr>
          <w:lang w:val="es-ES"/>
        </w:rPr>
        <w:t>Acordado en la Comisión de Organización del 27 de Julio</w:t>
      </w:r>
      <w:r/>
    </w:p>
  </w:footnote>
  <w:footnote w:id="7">
    <w:p>
      <w:pPr>
        <w:pStyle w:val="Notaalpie"/>
      </w:pPr>
      <w:r>
        <w:rPr>
          <w:rStyle w:val="Footnotereference"/>
        </w:rPr>
        <w:footnoteRef/>
        <w:tab/>
      </w:r>
      <w:r>
        <w:rPr>
          <w:lang w:val="es-ES"/>
        </w:rPr>
        <w:t xml:space="preserve"> </w:t>
      </w:r>
      <w:r>
        <w:rPr>
          <w:lang w:val="es-ES"/>
        </w:rPr>
        <w:t>Acordado en la Comisión de Organización del 27 de Julio</w:t>
      </w:r>
      <w:r/>
    </w:p>
  </w:footnote>
  <w:footnote w:id="8">
    <w:p>
      <w:pPr>
        <w:pStyle w:val="Notaalpie"/>
      </w:pPr>
      <w:r>
        <w:rPr>
          <w:rStyle w:val="Footnotereference"/>
        </w:rPr>
        <w:footnoteRef/>
        <w:tab/>
      </w:r>
      <w:r>
        <w:rPr>
          <w:lang w:val="es-ES"/>
        </w:rPr>
        <w:t xml:space="preserve"> </w:t>
      </w:r>
      <w:r>
        <w:rPr>
          <w:lang w:val="es-ES"/>
        </w:rPr>
        <w:t>Acordado en la Comisión de Organización del 27 de Julio</w:t>
      </w:r>
      <w:r/>
    </w:p>
  </w:footnote>
  <w:footnote w:id="9">
    <w:p>
      <w:pPr>
        <w:pStyle w:val="Notaalpie"/>
      </w:pPr>
      <w:r>
        <w:rPr>
          <w:rStyle w:val="Footnotereference"/>
        </w:rPr>
        <w:footnoteRef/>
        <w:tab/>
      </w:r>
      <w:r>
        <w:rPr>
          <w:lang w:val="es-ES"/>
        </w:rPr>
        <w:t xml:space="preserve"> </w:t>
      </w:r>
      <w:r>
        <w:rPr>
          <w:lang w:val="es-ES"/>
        </w:rPr>
        <w:t>Acordado en Asamblea del 30 de agosto de 2014</w:t>
      </w:r>
      <w:r/>
    </w:p>
  </w:footnote>
  <w:footnote w:id="10">
    <w:p>
      <w:pPr>
        <w:pStyle w:val="Notaalpie"/>
      </w:pPr>
      <w:r>
        <w:rPr>
          <w:rStyle w:val="Footnotereference"/>
        </w:rPr>
        <w:footnoteRef/>
        <w:tab/>
      </w:r>
      <w:r>
        <w:rPr>
          <w:lang w:val="es-ES"/>
        </w:rPr>
        <w:t xml:space="preserve"> </w:t>
      </w:r>
      <w:r>
        <w:rPr>
          <w:lang w:val="es-ES"/>
        </w:rPr>
        <w:t>Adaptación de lo acordado en la Comisión de Organización del 27 de Julio</w:t>
      </w:r>
      <w:r/>
    </w:p>
  </w:footnote>
  <w:footnote w:id="11">
    <w:p>
      <w:pPr>
        <w:pStyle w:val="Notaalpie"/>
      </w:pPr>
      <w:r>
        <w:rPr>
          <w:rStyle w:val="Footnotereference"/>
        </w:rPr>
        <w:footnoteRef/>
        <w:tab/>
      </w:r>
      <w:r>
        <w:rPr>
          <w:lang w:val="es-ES"/>
        </w:rPr>
        <w:t xml:space="preserve"> </w:t>
      </w:r>
      <w:r>
        <w:rPr>
          <w:lang w:val="es-ES"/>
        </w:rPr>
        <w:t>Acordado en la Comisión de Organización del 27 de Julio</w:t>
      </w:r>
      <w:r/>
    </w:p>
  </w:footnote>
  <w:footnote w:id="12">
    <w:p>
      <w:pPr>
        <w:pStyle w:val="Notaalpie"/>
      </w:pPr>
      <w:r>
        <w:rPr>
          <w:rStyle w:val="Footnotereference"/>
        </w:rPr>
        <w:footnoteRef/>
        <w:tab/>
      </w:r>
      <w:r>
        <w:rPr>
          <w:lang w:val="es-ES"/>
        </w:rPr>
        <w:t xml:space="preserve"> </w:t>
      </w:r>
      <w:r>
        <w:rPr>
          <w:lang w:val="es-ES"/>
        </w:rPr>
        <w:t>Acordado en la Comisión de Organización del 27 de Julio</w:t>
      </w:r>
      <w:r/>
    </w:p>
  </w:footnote>
</w:footnote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Style w:val="PlainTable21"/>
      <w:tblW w:w="9015" w:type="dxa"/>
      <w:jc w:val="left"/>
      <w:tblInd w:w="0" w:type="dxa"/>
      <w:tblBorders/>
      <w:tblCellMar>
        <w:top w:w="0" w:type="dxa"/>
        <w:left w:w="108" w:type="dxa"/>
        <w:bottom w:w="0" w:type="dxa"/>
        <w:right w:w="108" w:type="dxa"/>
      </w:tblCellMar>
    </w:tblPr>
    <w:tblGrid>
      <w:gridCol w:w="3003"/>
      <w:gridCol w:w="3004"/>
      <w:gridCol w:w="3008"/>
    </w:tblGrid>
    <w:tr>
      <w:trPr/>
      <w:tc>
        <w:tcPr>
          <w:tcW w:w="3003" w:type="dxa"/>
          <w:tcBorders/>
          <w:shd w:fill="auto" w:val="clear"/>
          <w:vAlign w:val="center"/>
        </w:tcPr>
        <w:p>
          <w:pPr>
            <w:pStyle w:val="Encabezamiento"/>
            <w:spacing w:lineRule="auto" w:line="240" w:before="0" w:after="0"/>
            <w:jc w:val="center"/>
            <w:rPr>
              <w:b w:val="false"/>
              <w:b w:val="false"/>
              <w:color w:val="7030A0"/>
            </w:rPr>
          </w:pPr>
          <w:r>
            <w:rPr>
              <w:b w:val="false"/>
              <w:bCs/>
              <w:color w:val="7030A0"/>
            </w:rPr>
            <w:t>Acta de reunión</w:t>
          </w:r>
          <w:r/>
        </w:p>
        <w:p>
          <w:pPr>
            <w:pStyle w:val="Encabezamiento"/>
            <w:spacing w:lineRule="auto" w:line="240" w:before="0" w:after="0"/>
            <w:jc w:val="center"/>
            <w:rPr>
              <w:sz w:val="28"/>
              <w:b w:val="false"/>
              <w:sz w:val="28"/>
              <w:b w:val="false"/>
              <w:color w:val="7030A0"/>
            </w:rPr>
          </w:pPr>
          <w:r>
            <w:rPr>
              <w:b w:val="false"/>
              <w:bCs/>
              <w:color w:val="7030A0"/>
            </w:rPr>
            <w:t>16 enero 2015</w:t>
          </w:r>
          <w:r/>
        </w:p>
      </w:tc>
      <w:tc>
        <w:tcPr>
          <w:tcW w:w="3004" w:type="dxa"/>
          <w:tcBorders/>
          <w:shd w:fill="auto" w:val="clear"/>
          <w:vAlign w:val="center"/>
        </w:tcPr>
        <w:p>
          <w:pPr>
            <w:pStyle w:val="Encabezamiento"/>
            <w:spacing w:lineRule="auto" w:line="240" w:before="0" w:after="0"/>
            <w:jc w:val="center"/>
            <w:rPr>
              <w:sz w:val="28"/>
              <w:b w:val="false"/>
              <w:sz w:val="28"/>
              <w:b w:val="false"/>
              <w:color w:val="7030A0"/>
              <w:lang w:val="es-ES"/>
            </w:rPr>
          </w:pPr>
          <w:r>
            <w:rPr>
              <w:b/>
              <w:bCs/>
              <w:color w:val="7030A0"/>
              <w:sz w:val="32"/>
            </w:rPr>
            <w:t>C</w:t>
          </w:r>
          <w:r>
            <w:rPr>
              <w:b/>
              <w:bCs/>
              <w:color w:val="7030A0"/>
              <w:sz w:val="32"/>
              <w:lang w:val="es-ES"/>
            </w:rPr>
            <w:t>írculo de Londres</w:t>
          </w:r>
          <w:r/>
        </w:p>
      </w:tc>
      <w:tc>
        <w:tcPr>
          <w:tcW w:w="3008" w:type="dxa"/>
          <w:tcBorders/>
          <w:shd w:fill="auto" w:val="clear"/>
          <w:vAlign w:val="center"/>
        </w:tcPr>
        <w:p>
          <w:pPr>
            <w:pStyle w:val="Encabezamiento"/>
            <w:spacing w:lineRule="auto" w:line="240" w:before="0" w:after="0"/>
            <w:jc w:val="center"/>
          </w:pPr>
          <w:r>
            <w:rPr>
              <w:b/>
              <w:bCs/>
            </w:rPr>
            <w:drawing>
              <wp:inline distT="0" distB="0" distL="0" distR="0">
                <wp:extent cx="1630680" cy="304800"/>
                <wp:effectExtent l="0" t="0" r="0" b="0"/>
                <wp:docPr id="2" name="Picture" descr="http://podemoslondres.files.wordpress.com/2014/04/cropped-cropped-cabecer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descr="http://podemoslondres.files.wordpress.com/2014/04/cropped-cropped-cabecera.png"/>
                        <pic:cNvPicPr>
                          <a:picLocks noChangeAspect="1" noChangeArrowheads="1"/>
                        </pic:cNvPicPr>
                      </pic:nvPicPr>
                      <pic:blipFill>
                        <a:blip r:embed="rId1"/>
                        <a:stretch>
                          <a:fillRect/>
                        </a:stretch>
                      </pic:blipFill>
                      <pic:spPr bwMode="auto">
                        <a:xfrm>
                          <a:off x="0" y="0"/>
                          <a:ext cx="1630680" cy="304800"/>
                        </a:xfrm>
                        <a:prstGeom prst="rect">
                          <a:avLst/>
                        </a:prstGeom>
                        <a:noFill/>
                        <a:ln w="9525">
                          <a:noFill/>
                          <a:miter lim="800000"/>
                          <a:headEnd/>
                          <a:tailEnd/>
                        </a:ln>
                      </pic:spPr>
                    </pic:pic>
                  </a:graphicData>
                </a:graphic>
              </wp:inline>
            </w:drawing>
          </w:r>
          <w:r/>
        </w:p>
      </w:tc>
    </w:tr>
  </w:tbl>
  <w:p>
    <w:pPr>
      <w:pStyle w:val="Encabezamiento"/>
    </w:pPr>
    <w:r>
      <w:rPr/>
    </w: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
    <w:lvl w:ilvl="0">
      <w:start w:val="1"/>
      <w:numFmt w:val="bullet"/>
      <w:lvlText w:val=""/>
      <w:lvlJc w:val="left"/>
      <w:pPr>
        <w:ind w:left="720" w:hanging="360"/>
      </w:pPr>
      <w:rPr>
        <w:rFonts w:ascii="Symbol" w:hAnsi="Symbol" w:cs="Symbol"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5">
    <w:lvl w:ilvl="0">
      <w:start w:val="1"/>
      <w:numFmt w:val="bullet"/>
      <w:lvlText w:val=""/>
      <w:lvlJc w:val="left"/>
      <w:pPr>
        <w:ind w:left="720" w:hanging="360"/>
      </w:pPr>
      <w:rPr>
        <w:rFonts w:ascii="Symbol" w:hAnsi="Symbol" w:cs="Symbol" w:hint="default"/>
      </w:rPr>
    </w:lvl>
    <w:lvl w:ilvl="1">
      <w:start w:val="1"/>
      <w:numFmt w:val="bullet"/>
      <w:lvlText w:val="-"/>
      <w:lvlJc w:val="left"/>
      <w:pPr>
        <w:ind w:left="1440" w:hanging="360"/>
      </w:pPr>
      <w:rPr>
        <w:rFonts w:ascii="Calibri" w:hAnsi="Calibri" w:cs="Calibri" w:hint="default"/>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7">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lvl w:ilvl="0">
      <w:start w:val="1"/>
      <w:numFmt w:val="bullet"/>
      <w:lvlText w:val=""/>
      <w:lvlJc w:val="left"/>
      <w:pPr>
        <w:ind w:left="774" w:hanging="360"/>
      </w:pPr>
      <w:rPr>
        <w:rFonts w:ascii="Symbol" w:hAnsi="Symbol" w:cs="Symbol" w:hint="default"/>
      </w:rPr>
    </w:lvl>
    <w:lvl w:ilvl="1">
      <w:start w:val="1"/>
      <w:numFmt w:val="bullet"/>
      <w:lvlText w:val="o"/>
      <w:lvlJc w:val="left"/>
      <w:pPr>
        <w:ind w:left="1494" w:hanging="360"/>
      </w:pPr>
      <w:rPr>
        <w:rFonts w:ascii="Courier New" w:hAnsi="Courier New" w:cs="Courier New" w:hint="default"/>
      </w:rPr>
    </w:lvl>
    <w:lvl w:ilvl="2">
      <w:start w:val="1"/>
      <w:numFmt w:val="bullet"/>
      <w:lvlText w:val=""/>
      <w:lvlJc w:val="left"/>
      <w:pPr>
        <w:ind w:left="2214" w:hanging="360"/>
      </w:pPr>
      <w:rPr>
        <w:rFonts w:ascii="Wingdings" w:hAnsi="Wingdings" w:cs="Wingdings" w:hint="default"/>
      </w:rPr>
    </w:lvl>
    <w:lvl w:ilvl="3">
      <w:start w:val="1"/>
      <w:numFmt w:val="bullet"/>
      <w:lvlText w:val=""/>
      <w:lvlJc w:val="left"/>
      <w:pPr>
        <w:ind w:left="2934" w:hanging="360"/>
      </w:pPr>
      <w:rPr>
        <w:rFonts w:ascii="Symbol" w:hAnsi="Symbol" w:cs="Symbol" w:hint="default"/>
      </w:rPr>
    </w:lvl>
    <w:lvl w:ilvl="4">
      <w:start w:val="1"/>
      <w:numFmt w:val="bullet"/>
      <w:lvlText w:val="o"/>
      <w:lvlJc w:val="left"/>
      <w:pPr>
        <w:ind w:left="3654" w:hanging="360"/>
      </w:pPr>
      <w:rPr>
        <w:rFonts w:ascii="Courier New" w:hAnsi="Courier New" w:cs="Courier New" w:hint="default"/>
      </w:rPr>
    </w:lvl>
    <w:lvl w:ilvl="5">
      <w:start w:val="1"/>
      <w:numFmt w:val="bullet"/>
      <w:lvlText w:val=""/>
      <w:lvlJc w:val="left"/>
      <w:pPr>
        <w:ind w:left="4374" w:hanging="360"/>
      </w:pPr>
      <w:rPr>
        <w:rFonts w:ascii="Wingdings" w:hAnsi="Wingdings" w:cs="Wingdings" w:hint="default"/>
      </w:rPr>
    </w:lvl>
    <w:lvl w:ilvl="6">
      <w:start w:val="1"/>
      <w:numFmt w:val="bullet"/>
      <w:lvlText w:val=""/>
      <w:lvlJc w:val="left"/>
      <w:pPr>
        <w:ind w:left="5094" w:hanging="360"/>
      </w:pPr>
      <w:rPr>
        <w:rFonts w:ascii="Symbol" w:hAnsi="Symbol" w:cs="Symbol" w:hint="default"/>
      </w:rPr>
    </w:lvl>
    <w:lvl w:ilvl="7">
      <w:start w:val="1"/>
      <w:numFmt w:val="bullet"/>
      <w:lvlText w:val="o"/>
      <w:lvlJc w:val="left"/>
      <w:pPr>
        <w:ind w:left="5814" w:hanging="360"/>
      </w:pPr>
      <w:rPr>
        <w:rFonts w:ascii="Courier New" w:hAnsi="Courier New" w:cs="Courier New" w:hint="default"/>
      </w:rPr>
    </w:lvl>
    <w:lvl w:ilvl="8">
      <w:start w:val="1"/>
      <w:numFmt w:val="bullet"/>
      <w:lvlText w:val=""/>
      <w:lvlJc w:val="left"/>
      <w:pPr>
        <w:ind w:left="6534" w:hanging="360"/>
      </w:pPr>
      <w:rPr>
        <w:rFonts w:ascii="Wingdings" w:hAnsi="Wingdings" w:cs="Wingdings" w:hint="default"/>
      </w:rPr>
    </w:lvl>
  </w:abstractNum>
  <w:abstractNum w:abstractNumId="9">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lvl w:ilvl="0">
      <w:start w:val="1"/>
      <w:numFmt w:val="bullet"/>
      <w:lvlText w:val=""/>
      <w:lvlJc w:val="left"/>
      <w:pPr>
        <w:ind w:left="360" w:hanging="360"/>
      </w:pPr>
      <w:rPr>
        <w:rFonts w:ascii="Symbol" w:hAnsi="Symbol" w:cs="Symbol"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1">
    <w:lvl w:ilvl="0">
      <w:start w:val="1"/>
      <w:numFmt w:val="bullet"/>
      <w:lvlText w:val=""/>
      <w:lvlJc w:val="left"/>
      <w:pPr>
        <w:ind w:left="360" w:hanging="360"/>
      </w:pPr>
      <w:rPr>
        <w:rFonts w:ascii="Symbol" w:hAnsi="Symbol" w:cs="Symbol" w:hint="default"/>
      </w:rPr>
    </w:lvl>
    <w:lvl w:ilvl="1">
      <w:start w:val="1"/>
      <w:numFmt w:val="bullet"/>
      <w:lvlText w:val="-"/>
      <w:lvlJc w:val="left"/>
      <w:pPr>
        <w:ind w:left="1080" w:hanging="360"/>
      </w:pPr>
      <w:rPr>
        <w:rFonts w:ascii="Calibri" w:hAnsi="Calibri" w:cs="Calibri" w:hint="default"/>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2">
    <w:lvl w:ilvl="0">
      <w:start w:val="1"/>
      <w:numFmt w:val="bullet"/>
      <w:lvlText w:val=""/>
      <w:lvlJc w:val="left"/>
      <w:pPr>
        <w:ind w:left="360" w:hanging="360"/>
      </w:pPr>
      <w:rPr>
        <w:rFonts w:ascii="Symbol" w:hAnsi="Symbol" w:cs="Symbol" w:hint="default"/>
      </w:rPr>
    </w:lvl>
    <w:lvl w:ilvl="1">
      <w:start w:val="1"/>
      <w:numFmt w:val="bullet"/>
      <w:lvlText w:val="-"/>
      <w:lvlJc w:val="left"/>
      <w:pPr>
        <w:ind w:left="1080" w:hanging="360"/>
      </w:pPr>
      <w:rPr>
        <w:rFonts w:ascii="Calibri" w:hAnsi="Calibri" w:cs="Calibri" w:hint="default"/>
      </w:rPr>
    </w:lvl>
    <w:lvl w:ilvl="2">
      <w:start w:val="1"/>
      <w:numFmt w:val="bullet"/>
      <w:lvlText w:val="-"/>
      <w:lvlJc w:val="left"/>
      <w:pPr>
        <w:ind w:left="1800" w:hanging="180"/>
      </w:pPr>
      <w:rPr>
        <w:rFonts w:ascii="Calibri" w:hAnsi="Calibri" w:cs="Calibri" w:hint="default"/>
      </w:r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3">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bering>
</file>

<file path=word/settings.xml><?xml version="1.0" encoding="utf-8"?>
<w:settings xmlns:w="http://schemas.openxmlformats.org/wordprocessingml/2006/main">
  <w:zoom w:percent="110"/>
  <w:defaultTabStop w:val="720"/>
  <w:footnotePr>
    <w:numFmt w:val="decimal"/>
    <w:footnote w:id="0"/>
    <w:footnote w:id="1"/>
  </w:foot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GB" w:eastAsia="en-US" w:bidi="ar-SA"/>
      </w:rPr>
    </w:rPrDefault>
    <w:pPrDefault>
      <w:pPr>
        <w:spacing w:lineRule="auto" w:line="256"/>
      </w:pPr>
    </w:pPrDefault>
  </w:docDefaults>
  <w:latentStyles w:count="267" w:defQFormat="0" w:defUnhideWhenUsed="1" w:defSemiHidden="1" w:defUIPriority="99" w:defLockedState="0">
    <w:lsdException w:qFormat="1" w:semiHidden="0" w:unhideWhenUsed="0" w:uiPriority="0" w:name="Normal"/>
    <w:lsdException w:qFormat="1" w:semiHidden="0" w:unhideWhenUsed="0" w:uiPriority="9"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35" w:name="caption"/>
    <w:lsdException w:qFormat="1" w:semiHidden="0" w:unhideWhenUsed="0" w:uiPriority="10" w:name="Title"/>
    <w:lsdException w:uiPriority="1" w:name="Default Paragraph Font"/>
    <w:lsdException w:qFormat="1" w:semiHidden="0" w:unhideWhenUsed="0" w:uiPriority="11" w:name="Subtitle"/>
    <w:lsdException w:qFormat="1" w:semiHidden="0" w:unhideWhenUsed="0" w:uiPriority="22" w:name="Strong"/>
    <w:lsdException w:qFormat="1" w:semiHidden="0" w:unhideWhenUsed="0" w:uiPriority="20" w:name="Emphasis"/>
    <w:lsdException w:semiHidden="0" w:unhideWhenUsed="0" w:uiPriority="39" w:name="Table Grid"/>
    <w:lsdException w:unhideWhenUsed="0" w:name="Placeholder Text"/>
    <w:lsdException w:qFormat="1" w:semiHidden="0" w:unhideWhenUsed="0" w:uiPriority="1" w:name="No Spacing"/>
    <w:lsdException w:semiHidden="0" w:unhideWhenUsed="0" w:uiPriority="60" w:name="Light Shading"/>
    <w:lsdException w:semiHidden="0" w:unhideWhenUsed="0" w:uiPriority="61" w:name="Light List"/>
    <w:lsdException w:semiHidden="0" w:unhideWhenUsed="0" w:uiPriority="62" w:name="Light Grid"/>
    <w:lsdException w:semiHidden="0" w:unhideWhenUsed="0" w:uiPriority="63" w:name="Medium Shading 1"/>
    <w:lsdException w:semiHidden="0" w:unhideWhenUsed="0" w:uiPriority="64" w:name="Medium Shading 2"/>
    <w:lsdException w:semiHidden="0" w:unhideWhenUsed="0" w:uiPriority="65" w:name="Medium List 1"/>
    <w:lsdException w:semiHidden="0" w:unhideWhenUsed="0" w:uiPriority="66" w:name="Medium List 2"/>
    <w:lsdException w:semiHidden="0" w:unhideWhenUsed="0" w:uiPriority="67" w:name="Medium Grid 1"/>
    <w:lsdException w:semiHidden="0" w:unhideWhenUsed="0" w:uiPriority="68" w:name="Medium Grid 2"/>
    <w:lsdException w:semiHidden="0" w:unhideWhenUsed="0" w:uiPriority="69" w:name="Medium Grid 3"/>
    <w:lsdException w:semiHidden="0" w:unhideWhenUsed="0" w:uiPriority="70" w:name="Dark List"/>
    <w:lsdException w:semiHidden="0" w:unhideWhenUsed="0" w:uiPriority="71" w:name="Colorful Shading"/>
    <w:lsdException w:semiHidden="0" w:unhideWhenUsed="0" w:uiPriority="72" w:name="Colorful List"/>
    <w:lsdException w:semiHidden="0" w:unhideWhenUsed="0" w:uiPriority="73" w:name="Colorful Grid"/>
    <w:lsdException w:semiHidden="0" w:unhideWhenUsed="0" w:uiPriority="60" w:name="Light Shading Accent 1"/>
    <w:lsdException w:semiHidden="0" w:unhideWhenUsed="0" w:uiPriority="61" w:name="Light List Accent 1"/>
    <w:lsdException w:semiHidden="0" w:unhideWhenUsed="0" w:uiPriority="62" w:name="Light Grid Accent 1"/>
    <w:lsdException w:semiHidden="0" w:unhideWhenUsed="0" w:uiPriority="63" w:name="Medium Shading 1 Accent 1"/>
    <w:lsdException w:semiHidden="0" w:unhideWhenUsed="0" w:uiPriority="64" w:name="Medium Shading 2 Accent 1"/>
    <w:lsdException w:semiHidden="0" w:unhideWhenUsed="0" w:uiPriority="65" w:name="Medium List 1 Accent 1"/>
    <w:lsdException w:unhideWhenUsed="0" w:name="Revision"/>
    <w:lsdException w:qFormat="1" w:semiHidden="0" w:unhideWhenUsed="0" w:uiPriority="34" w:name="List Paragraph"/>
    <w:lsdException w:qFormat="1" w:semiHidden="0" w:unhideWhenUsed="0" w:uiPriority="29" w:name="Quote"/>
    <w:lsdException w:qFormat="1" w:semiHidden="0" w:unhideWhenUsed="0" w:uiPriority="30" w:name="Intense Quote"/>
    <w:lsdException w:semiHidden="0" w:unhideWhenUsed="0" w:uiPriority="66" w:name="Medium List 2 Accent 1"/>
    <w:lsdException w:semiHidden="0" w:unhideWhenUsed="0" w:uiPriority="67" w:name="Medium Grid 1 Accent 1"/>
    <w:lsdException w:semiHidden="0" w:unhideWhenUsed="0" w:uiPriority="68" w:name="Medium Grid 2 Accent 1"/>
    <w:lsdException w:semiHidden="0" w:unhideWhenUsed="0" w:uiPriority="69" w:name="Medium Grid 3 Accent 1"/>
    <w:lsdException w:semiHidden="0" w:unhideWhenUsed="0" w:uiPriority="70" w:name="Dark List Accent 1"/>
    <w:lsdException w:semiHidden="0" w:unhideWhenUsed="0" w:uiPriority="71" w:name="Colorful Shading Accent 1"/>
    <w:lsdException w:semiHidden="0" w:unhideWhenUsed="0" w:uiPriority="72" w:name="Colorful List Accent 1"/>
    <w:lsdException w:semiHidden="0" w:unhideWhenUsed="0" w:uiPriority="73" w:name="Colorful Grid Accent 1"/>
    <w:lsdException w:semiHidden="0" w:unhideWhenUsed="0" w:uiPriority="60" w:name="Light Shading Accent 2"/>
    <w:lsdException w:semiHidden="0" w:unhideWhenUsed="0" w:uiPriority="61" w:name="Light List Accent 2"/>
    <w:lsdException w:semiHidden="0" w:unhideWhenUsed="0" w:uiPriority="62" w:name="Light Grid Accent 2"/>
    <w:lsdException w:semiHidden="0" w:unhideWhenUsed="0" w:uiPriority="63" w:name="Medium Shading 1 Accent 2"/>
    <w:lsdException w:semiHidden="0" w:unhideWhenUsed="0" w:uiPriority="64" w:name="Medium Shading 2 Accent 2"/>
    <w:lsdException w:semiHidden="0" w:unhideWhenUsed="0" w:uiPriority="65" w:name="Medium List 1 Accent 2"/>
    <w:lsdException w:semiHidden="0" w:unhideWhenUsed="0" w:uiPriority="66" w:name="Medium List 2 Accent 2"/>
    <w:lsdException w:semiHidden="0" w:unhideWhenUsed="0" w:uiPriority="67" w:name="Medium Grid 1 Accent 2"/>
    <w:lsdException w:semiHidden="0" w:unhideWhenUsed="0" w:uiPriority="68" w:name="Medium Grid 2 Accent 2"/>
    <w:lsdException w:semiHidden="0" w:unhideWhenUsed="0" w:uiPriority="69" w:name="Medium Grid 3 Accent 2"/>
    <w:lsdException w:semiHidden="0" w:unhideWhenUsed="0" w:uiPriority="70" w:name="Dark List Accent 2"/>
    <w:lsdException w:semiHidden="0" w:unhideWhenUsed="0" w:uiPriority="71" w:name="Colorful Shading Accent 2"/>
    <w:lsdException w:semiHidden="0" w:unhideWhenUsed="0" w:uiPriority="72" w:name="Colorful List Accent 2"/>
    <w:lsdException w:semiHidden="0" w:unhideWhenUsed="0" w:uiPriority="73" w:name="Colorful Grid Accent 2"/>
    <w:lsdException w:semiHidden="0" w:unhideWhenUsed="0" w:uiPriority="60" w:name="Light Shading Accent 3"/>
    <w:lsdException w:semiHidden="0" w:unhideWhenUsed="0" w:uiPriority="61" w:name="Light List Accent 3"/>
    <w:lsdException w:semiHidden="0" w:unhideWhenUsed="0" w:uiPriority="62" w:name="Light Grid Accent 3"/>
    <w:lsdException w:semiHidden="0" w:unhideWhenUsed="0" w:uiPriority="63" w:name="Medium Shading 1 Accent 3"/>
    <w:lsdException w:semiHidden="0" w:unhideWhenUsed="0" w:uiPriority="64" w:name="Medium Shading 2 Accent 3"/>
    <w:lsdException w:semiHidden="0" w:unhideWhenUsed="0" w:uiPriority="65" w:name="Medium List 1 Accent 3"/>
    <w:lsdException w:semiHidden="0" w:unhideWhenUsed="0" w:uiPriority="66" w:name="Medium List 2 Accent 3"/>
    <w:lsdException w:semiHidden="0" w:unhideWhenUsed="0" w:uiPriority="67" w:name="Medium Grid 1 Accent 3"/>
    <w:lsdException w:semiHidden="0" w:unhideWhenUsed="0" w:uiPriority="68" w:name="Medium Grid 2 Accent 3"/>
    <w:lsdException w:semiHidden="0" w:unhideWhenUsed="0" w:uiPriority="69" w:name="Medium Grid 3 Accent 3"/>
    <w:lsdException w:semiHidden="0" w:unhideWhenUsed="0" w:uiPriority="70" w:name="Dark List Accent 3"/>
    <w:lsdException w:semiHidden="0" w:unhideWhenUsed="0" w:uiPriority="71" w:name="Colorful Shading Accent 3"/>
    <w:lsdException w:semiHidden="0" w:unhideWhenUsed="0" w:uiPriority="72" w:name="Colorful List Accent 3"/>
    <w:lsdException w:semiHidden="0" w:unhideWhenUsed="0" w:uiPriority="73" w:name="Colorful Grid Accent 3"/>
    <w:lsdException w:semiHidden="0" w:unhideWhenUsed="0" w:uiPriority="60" w:name="Light Shading Accent 4"/>
    <w:lsdException w:semiHidden="0" w:unhideWhenUsed="0" w:uiPriority="61" w:name="Light List Accent 4"/>
    <w:lsdException w:semiHidden="0" w:unhideWhenUsed="0" w:uiPriority="62" w:name="Light Grid Accent 4"/>
    <w:lsdException w:semiHidden="0" w:unhideWhenUsed="0" w:uiPriority="63" w:name="Medium Shading 1 Accent 4"/>
    <w:lsdException w:semiHidden="0" w:unhideWhenUsed="0" w:uiPriority="64" w:name="Medium Shading 2 Accent 4"/>
    <w:lsdException w:semiHidden="0" w:unhideWhenUsed="0" w:uiPriority="65" w:name="Medium List 1 Accent 4"/>
    <w:lsdException w:semiHidden="0" w:unhideWhenUsed="0" w:uiPriority="66" w:name="Medium List 2 Accent 4"/>
    <w:lsdException w:semiHidden="0" w:unhideWhenUsed="0" w:uiPriority="67" w:name="Medium Grid 1 Accent 4"/>
    <w:lsdException w:semiHidden="0" w:unhideWhenUsed="0" w:uiPriority="68" w:name="Medium Grid 2 Accent 4"/>
    <w:lsdException w:semiHidden="0" w:unhideWhenUsed="0" w:uiPriority="69" w:name="Medium Grid 3 Accent 4"/>
    <w:lsdException w:semiHidden="0" w:unhideWhenUsed="0" w:uiPriority="70" w:name="Dark List Accent 4"/>
    <w:lsdException w:semiHidden="0" w:unhideWhenUsed="0" w:uiPriority="71" w:name="Colorful Shading Accent 4"/>
    <w:lsdException w:semiHidden="0" w:unhideWhenUsed="0" w:uiPriority="72" w:name="Colorful List Accent 4"/>
    <w:lsdException w:semiHidden="0" w:unhideWhenUsed="0" w:uiPriority="73" w:name="Colorful Grid Accent 4"/>
    <w:lsdException w:semiHidden="0" w:unhideWhenUsed="0" w:uiPriority="60" w:name="Light Shading Accent 5"/>
    <w:lsdException w:semiHidden="0" w:unhideWhenUsed="0" w:uiPriority="61" w:name="Light List Accent 5"/>
    <w:lsdException w:semiHidden="0" w:unhideWhenUsed="0" w:uiPriority="62" w:name="Light Grid Accent 5"/>
    <w:lsdException w:semiHidden="0" w:unhideWhenUsed="0" w:uiPriority="63" w:name="Medium Shading 1 Accent 5"/>
    <w:lsdException w:semiHidden="0" w:unhideWhenUsed="0" w:uiPriority="64" w:name="Medium Shading 2 Accent 5"/>
    <w:lsdException w:semiHidden="0" w:unhideWhenUsed="0" w:uiPriority="65" w:name="Medium List 1 Accent 5"/>
    <w:lsdException w:semiHidden="0" w:unhideWhenUsed="0" w:uiPriority="66" w:name="Medium List 2 Accent 5"/>
    <w:lsdException w:semiHidden="0" w:unhideWhenUsed="0" w:uiPriority="67" w:name="Medium Grid 1 Accent 5"/>
    <w:lsdException w:semiHidden="0" w:unhideWhenUsed="0" w:uiPriority="68" w:name="Medium Grid 2 Accent 5"/>
    <w:lsdException w:semiHidden="0" w:unhideWhenUsed="0" w:uiPriority="69" w:name="Medium Grid 3 Accent 5"/>
    <w:lsdException w:semiHidden="0" w:unhideWhenUsed="0" w:uiPriority="70" w:name="Dark List Accent 5"/>
    <w:lsdException w:semiHidden="0" w:unhideWhenUsed="0" w:uiPriority="71" w:name="Colorful Shading Accent 5"/>
    <w:lsdException w:semiHidden="0" w:unhideWhenUsed="0" w:uiPriority="72" w:name="Colorful List Accent 5"/>
    <w:lsdException w:semiHidden="0" w:unhideWhenUsed="0" w:uiPriority="73" w:name="Colorful Grid Accent 5"/>
    <w:lsdException w:semiHidden="0" w:unhideWhenUsed="0" w:uiPriority="60" w:name="Light Shading Accent 6"/>
    <w:lsdException w:semiHidden="0" w:unhideWhenUsed="0" w:uiPriority="61" w:name="Light List Accent 6"/>
    <w:lsdException w:semiHidden="0" w:unhideWhenUsed="0" w:uiPriority="62" w:name="Light Grid Accent 6"/>
    <w:lsdException w:semiHidden="0" w:unhideWhenUsed="0" w:uiPriority="63" w:name="Medium Shading 1 Accent 6"/>
    <w:lsdException w:semiHidden="0" w:unhideWhenUsed="0" w:uiPriority="64" w:name="Medium Shading 2 Accent 6"/>
    <w:lsdException w:semiHidden="0" w:unhideWhenUsed="0" w:uiPriority="65" w:name="Medium List 1 Accent 6"/>
    <w:lsdException w:semiHidden="0" w:unhideWhenUsed="0" w:uiPriority="66" w:name="Medium List 2 Accent 6"/>
    <w:lsdException w:semiHidden="0" w:unhideWhenUsed="0" w:uiPriority="67" w:name="Medium Grid 1 Accent 6"/>
    <w:lsdException w:semiHidden="0" w:unhideWhenUsed="0" w:uiPriority="68" w:name="Medium Grid 2 Accent 6"/>
    <w:lsdException w:semiHidden="0" w:unhideWhenUsed="0" w:uiPriority="69" w:name="Medium Grid 3 Accent 6"/>
    <w:lsdException w:semiHidden="0" w:unhideWhenUsed="0" w:uiPriority="70" w:name="Dark List Accent 6"/>
    <w:lsdException w:semiHidden="0" w:unhideWhenUsed="0" w:uiPriority="71" w:name="Colorful Shading Accent 6"/>
    <w:lsdException w:semiHidden="0" w:unhideWhenUsed="0" w:uiPriority="72" w:name="Colorful List Accent 6"/>
    <w:lsdException w:semiHidden="0" w:unhideWhenUsed="0" w:uiPriority="73" w:name="Colorful Grid Accent 6"/>
    <w:lsdException w:qFormat="1" w:semiHidden="0" w:unhideWhenUsed="0" w:uiPriority="19" w:name="Subtle Emphasis"/>
    <w:lsdException w:qFormat="1" w:semiHidden="0" w:unhideWhenUsed="0" w:uiPriority="21" w:name="Intense Emphasis"/>
    <w:lsdException w:qFormat="1" w:semiHidden="0" w:unhideWhenUsed="0" w:uiPriority="31" w:name="Subtle Reference"/>
    <w:lsdException w:qFormat="1" w:semiHidden="0" w:unhideWhenUsed="0" w:uiPriority="32" w:name="Intense Reference"/>
    <w:lsdException w:qFormat="1" w:semiHidden="0" w:unhideWhenUsed="0" w:uiPriority="33" w:name="Book Title"/>
    <w:lsdException w:uiPriority="37" w:name="Bibliography"/>
    <w:lsdException w:qFormat="1" w:uiPriority="39" w:name="TOC Heading"/>
  </w:latentStyles>
  <w:style w:type="paragraph" w:styleId="Normal" w:default="1">
    <w:name w:val="Normal"/>
    <w:qFormat/>
    <w:pPr>
      <w:widowControl/>
      <w:suppressAutoHyphens w:val="true"/>
      <w:bidi w:val="0"/>
      <w:spacing w:lineRule="auto" w:line="256" w:before="0" w:after="160"/>
      <w:jc w:val="left"/>
    </w:pPr>
    <w:rPr>
      <w:rFonts w:ascii="Calibri" w:hAnsi="Calibri" w:eastAsia="Calibri" w:cs="" w:asciiTheme="minorHAnsi" w:cstheme="minorBidi" w:eastAsiaTheme="minorHAnsi" w:hAnsiTheme="minorHAnsi"/>
      <w:color w:val="auto"/>
      <w:sz w:val="22"/>
      <w:szCs w:val="22"/>
      <w:lang w:val="en-GB" w:eastAsia="en-US" w:bidi="ar-SA"/>
    </w:rPr>
  </w:style>
  <w:style w:type="paragraph" w:styleId="Encabezado1">
    <w:name w:val="Encabezado 1"/>
    <w:basedOn w:val="Normal"/>
    <w:next w:val="Normal"/>
    <w:link w:val="Heading1Char"/>
    <w:uiPriority w:val="9"/>
    <w:qFormat/>
    <w:rsid w:val="008a64f6"/>
    <w:pPr>
      <w:keepNext/>
      <w:keepLines/>
      <w:spacing w:before="240" w:after="0"/>
      <w:outlineLvl w:val="0"/>
    </w:pPr>
    <w:rPr>
      <w:rFonts w:ascii="Calibri Light" w:hAnsi="Calibri Light" w:eastAsia="" w:cs="" w:asciiTheme="majorHAnsi" w:cstheme="majorBidi" w:eastAsiaTheme="majorEastAsia" w:hAnsiTheme="majorHAnsi"/>
      <w:b/>
      <w:color w:val="7030A0"/>
      <w:sz w:val="32"/>
      <w:szCs w:val="32"/>
    </w:rPr>
  </w:style>
  <w:style w:type="paragraph" w:styleId="Encabezado2">
    <w:name w:val="Encabezado 2"/>
    <w:basedOn w:val="Normal"/>
    <w:next w:val="Normal"/>
    <w:link w:val="Heading2Char"/>
    <w:uiPriority w:val="9"/>
    <w:unhideWhenUsed/>
    <w:qFormat/>
    <w:rsid w:val="004c7dfe"/>
    <w:pPr>
      <w:keepNext/>
      <w:keepLines/>
      <w:spacing w:before="40" w:after="0"/>
      <w:outlineLvl w:val="1"/>
    </w:pPr>
    <w:rPr>
      <w:rFonts w:ascii="Calibri Light" w:hAnsi="Calibri Light" w:eastAsia="" w:cs="" w:asciiTheme="majorHAnsi" w:cstheme="majorBidi" w:eastAsiaTheme="majorEastAsia" w:hAnsiTheme="majorHAnsi"/>
      <w:color w:val="2E74B5" w:themeColor="accent1" w:themeShade="bf"/>
      <w:sz w:val="26"/>
      <w:szCs w:val="26"/>
    </w:rPr>
  </w:style>
  <w:style w:type="paragraph" w:styleId="Encabezado3">
    <w:name w:val="Encabezado 3"/>
    <w:basedOn w:val="Normal"/>
    <w:next w:val="Normal"/>
    <w:link w:val="Heading3Char"/>
    <w:uiPriority w:val="9"/>
    <w:unhideWhenUsed/>
    <w:qFormat/>
    <w:rsid w:val="001a5afc"/>
    <w:pPr>
      <w:keepNext/>
      <w:keepLines/>
      <w:spacing w:before="40" w:after="0"/>
      <w:outlineLvl w:val="2"/>
    </w:pPr>
    <w:rPr>
      <w:rFonts w:ascii="Calibri Light" w:hAnsi="Calibri Light" w:eastAsia="" w:cs="" w:asciiTheme="majorHAnsi" w:cstheme="majorBidi" w:eastAsiaTheme="majorEastAsia" w:hAnsiTheme="majorHAnsi"/>
      <w:color w:val="002060"/>
      <w:sz w:val="24"/>
      <w:szCs w:val="24"/>
    </w:rPr>
  </w:style>
  <w:style w:type="paragraph" w:styleId="Encabezado4">
    <w:name w:val="Encabezado 4"/>
    <w:basedOn w:val="Normal"/>
    <w:next w:val="Normal"/>
    <w:link w:val="Heading4Char"/>
    <w:uiPriority w:val="9"/>
    <w:unhideWhenUsed/>
    <w:qFormat/>
    <w:rsid w:val="00980511"/>
    <w:pPr>
      <w:keepNext/>
      <w:keepLines/>
      <w:spacing w:before="40" w:after="0"/>
      <w:outlineLvl w:val="3"/>
    </w:pPr>
    <w:rPr>
      <w:rFonts w:ascii="Calibri Light" w:hAnsi="Calibri Light" w:eastAsia="" w:cs="" w:asciiTheme="majorHAnsi" w:cstheme="majorBidi" w:eastAsiaTheme="majorEastAsia" w:hAnsiTheme="majorHAnsi"/>
      <w:i/>
      <w:iCs/>
      <w:color w:val="2E74B5" w:themeColor="accent1" w:themeShade="bf"/>
    </w:rPr>
  </w:style>
  <w:style w:type="paragraph" w:styleId="Encabezado5">
    <w:name w:val="Encabezado 5"/>
    <w:basedOn w:val="Normal"/>
    <w:next w:val="Normal"/>
    <w:link w:val="Heading5Char"/>
    <w:uiPriority w:val="9"/>
    <w:unhideWhenUsed/>
    <w:qFormat/>
    <w:rsid w:val="00952893"/>
    <w:pPr>
      <w:keepNext/>
      <w:keepLines/>
      <w:spacing w:before="200" w:after="0"/>
      <w:outlineLvl w:val="4"/>
    </w:pPr>
    <w:rPr>
      <w:rFonts w:ascii="Calibri Light" w:hAnsi="Calibri Light" w:eastAsia="" w:cs="" w:asciiTheme="majorHAnsi" w:cstheme="majorBidi" w:eastAsiaTheme="majorEastAsia" w:hAnsiTheme="majorHAnsi"/>
      <w:color w:val="1F4D78" w:themeColor="accent1" w:themeShade="7f"/>
    </w:rPr>
  </w:style>
  <w:style w:type="character" w:styleId="DefaultParagraphFont" w:default="1">
    <w:name w:val="Default Paragraph Font"/>
    <w:uiPriority w:val="1"/>
    <w:semiHidden/>
    <w:unhideWhenUsed/>
    <w:rPr/>
  </w:style>
  <w:style w:type="character" w:styleId="Heading1Char" w:customStyle="1">
    <w:name w:val="Heading 1 Char"/>
    <w:basedOn w:val="DefaultParagraphFont"/>
    <w:link w:val="Heading1"/>
    <w:uiPriority w:val="9"/>
    <w:rsid w:val="008a64f6"/>
    <w:rPr>
      <w:rFonts w:ascii="Calibri Light" w:hAnsi="Calibri Light" w:eastAsia="" w:cs="" w:asciiTheme="majorHAnsi" w:cstheme="majorBidi" w:eastAsiaTheme="majorEastAsia" w:hAnsiTheme="majorHAnsi"/>
      <w:b/>
      <w:color w:val="7030A0"/>
      <w:sz w:val="32"/>
      <w:szCs w:val="32"/>
    </w:rPr>
  </w:style>
  <w:style w:type="character" w:styleId="TitleChar" w:customStyle="1">
    <w:name w:val="Title Char"/>
    <w:basedOn w:val="DefaultParagraphFont"/>
    <w:link w:val="Title"/>
    <w:uiPriority w:val="10"/>
    <w:rsid w:val="0083644c"/>
    <w:rPr>
      <w:rFonts w:ascii="Calibri Light" w:hAnsi="Calibri Light" w:eastAsia="" w:cs="" w:asciiTheme="majorHAnsi" w:cstheme="majorBidi" w:eastAsiaTheme="majorEastAsia" w:hAnsiTheme="majorHAnsi"/>
      <w:spacing w:val="-10"/>
      <w:sz w:val="56"/>
      <w:szCs w:val="56"/>
    </w:rPr>
  </w:style>
  <w:style w:type="character" w:styleId="EnlacedeInternet">
    <w:name w:val="Enlace de Internet"/>
    <w:basedOn w:val="DefaultParagraphFont"/>
    <w:uiPriority w:val="99"/>
    <w:unhideWhenUsed/>
    <w:rsid w:val="00fe562b"/>
    <w:rPr>
      <w:color w:val="0563C1" w:themeColor="hyperlink"/>
      <w:u w:val="single"/>
      <w:lang w:val="zxx" w:eastAsia="zxx" w:bidi="zxx"/>
    </w:rPr>
  </w:style>
  <w:style w:type="character" w:styleId="Heading2Char" w:customStyle="1">
    <w:name w:val="Heading 2 Char"/>
    <w:basedOn w:val="DefaultParagraphFont"/>
    <w:link w:val="Heading2"/>
    <w:uiPriority w:val="9"/>
    <w:rsid w:val="004c7dfe"/>
    <w:rPr>
      <w:rFonts w:ascii="Calibri Light" w:hAnsi="Calibri Light" w:eastAsia="" w:cs="" w:asciiTheme="majorHAnsi" w:cstheme="majorBidi" w:eastAsiaTheme="majorEastAsia" w:hAnsiTheme="majorHAnsi"/>
      <w:color w:val="2E74B5" w:themeColor="accent1" w:themeShade="bf"/>
      <w:sz w:val="26"/>
      <w:szCs w:val="26"/>
    </w:rPr>
  </w:style>
  <w:style w:type="character" w:styleId="HeaderChar" w:customStyle="1">
    <w:name w:val="Header Char"/>
    <w:basedOn w:val="DefaultParagraphFont"/>
    <w:link w:val="Header"/>
    <w:uiPriority w:val="99"/>
    <w:rsid w:val="00bb635b"/>
    <w:rPr/>
  </w:style>
  <w:style w:type="character" w:styleId="FooterChar" w:customStyle="1">
    <w:name w:val="Footer Char"/>
    <w:basedOn w:val="DefaultParagraphFont"/>
    <w:link w:val="Footer"/>
    <w:uiPriority w:val="99"/>
    <w:rsid w:val="00bb635b"/>
    <w:rPr/>
  </w:style>
  <w:style w:type="character" w:styleId="Heading3Char" w:customStyle="1">
    <w:name w:val="Heading 3 Char"/>
    <w:basedOn w:val="DefaultParagraphFont"/>
    <w:link w:val="Heading3"/>
    <w:uiPriority w:val="9"/>
    <w:rsid w:val="001a5afc"/>
    <w:rPr>
      <w:rFonts w:ascii="Calibri Light" w:hAnsi="Calibri Light" w:eastAsia="" w:cs="" w:asciiTheme="majorHAnsi" w:cstheme="majorBidi" w:eastAsiaTheme="majorEastAsia" w:hAnsiTheme="majorHAnsi"/>
      <w:color w:val="002060"/>
      <w:sz w:val="24"/>
      <w:szCs w:val="24"/>
    </w:rPr>
  </w:style>
  <w:style w:type="character" w:styleId="Heading4Char" w:customStyle="1">
    <w:name w:val="Heading 4 Char"/>
    <w:basedOn w:val="DefaultParagraphFont"/>
    <w:link w:val="Heading4"/>
    <w:uiPriority w:val="9"/>
    <w:rsid w:val="00980511"/>
    <w:rPr>
      <w:rFonts w:ascii="Calibri Light" w:hAnsi="Calibri Light" w:eastAsia="" w:cs="" w:asciiTheme="majorHAnsi" w:cstheme="majorBidi" w:eastAsiaTheme="majorEastAsia" w:hAnsiTheme="majorHAnsi"/>
      <w:i/>
      <w:iCs/>
      <w:color w:val="2E74B5" w:themeColor="accent1" w:themeShade="bf"/>
    </w:rPr>
  </w:style>
  <w:style w:type="character" w:styleId="FollowedHyperlink">
    <w:name w:val="FollowedHyperlink"/>
    <w:basedOn w:val="DefaultParagraphFont"/>
    <w:uiPriority w:val="99"/>
    <w:semiHidden/>
    <w:unhideWhenUsed/>
    <w:rsid w:val="00f43b57"/>
    <w:rPr>
      <w:color w:val="954F72" w:themeColor="followedHyperlink"/>
      <w:u w:val="single"/>
    </w:rPr>
  </w:style>
  <w:style w:type="character" w:styleId="BalloonTextChar" w:customStyle="1">
    <w:name w:val="Balloon Text Char"/>
    <w:basedOn w:val="DefaultParagraphFont"/>
    <w:link w:val="BalloonText"/>
    <w:uiPriority w:val="99"/>
    <w:semiHidden/>
    <w:rsid w:val="00c42eba"/>
    <w:rPr>
      <w:rFonts w:ascii="Tahoma" w:hAnsi="Tahoma" w:cs="Tahoma"/>
      <w:sz w:val="16"/>
      <w:szCs w:val="16"/>
    </w:rPr>
  </w:style>
  <w:style w:type="character" w:styleId="Heading5Char" w:customStyle="1">
    <w:name w:val="Heading 5 Char"/>
    <w:basedOn w:val="DefaultParagraphFont"/>
    <w:link w:val="Heading5"/>
    <w:uiPriority w:val="9"/>
    <w:rsid w:val="00952893"/>
    <w:rPr>
      <w:rFonts w:ascii="Calibri Light" w:hAnsi="Calibri Light" w:eastAsia="" w:cs="" w:asciiTheme="majorHAnsi" w:cstheme="majorBidi" w:eastAsiaTheme="majorEastAsia" w:hAnsiTheme="majorHAnsi"/>
      <w:color w:val="1F4D78" w:themeColor="accent1" w:themeShade="7f"/>
    </w:rPr>
  </w:style>
  <w:style w:type="character" w:styleId="FootnoteTextChar" w:customStyle="1">
    <w:name w:val="Footnote Text Char"/>
    <w:basedOn w:val="DefaultParagraphFont"/>
    <w:link w:val="FootnoteText"/>
    <w:uiPriority w:val="99"/>
    <w:semiHidden/>
    <w:rsid w:val="002f2f61"/>
    <w:rPr>
      <w:sz w:val="20"/>
      <w:szCs w:val="20"/>
    </w:rPr>
  </w:style>
  <w:style w:type="character" w:styleId="Footnotereference">
    <w:name w:val="footnote reference"/>
    <w:basedOn w:val="DefaultParagraphFont"/>
    <w:uiPriority w:val="99"/>
    <w:semiHidden/>
    <w:unhideWhenUsed/>
    <w:rsid w:val="002f2f61"/>
    <w:rPr>
      <w:vertAlign w:val="superscript"/>
    </w:rPr>
  </w:style>
  <w:style w:type="character" w:styleId="ListLabel1">
    <w:name w:val="ListLabel 1"/>
    <w:rPr>
      <w:rFonts w:cs="Courier New"/>
    </w:rPr>
  </w:style>
  <w:style w:type="character" w:styleId="ListLabel2">
    <w:name w:val="ListLabel 2"/>
    <w:rPr>
      <w:rFonts w:eastAsia="Calibri" w:cs=""/>
    </w:rPr>
  </w:style>
  <w:style w:type="character" w:styleId="ListLabel3">
    <w:name w:val="ListLabel 3"/>
    <w:rPr>
      <w:rFonts w:eastAsia="Calibri" w:cs=""/>
    </w:rPr>
  </w:style>
  <w:style w:type="character" w:styleId="Enlacedelndice">
    <w:name w:val="Enlace del índice"/>
    <w:rPr/>
  </w:style>
  <w:style w:type="character" w:styleId="Caracteresdenotaalpie">
    <w:name w:val="Caracteres de nota al pie"/>
    <w:rPr/>
  </w:style>
  <w:style w:type="character" w:styleId="Ancladenotaalpie">
    <w:name w:val="Ancla de nota al pie"/>
    <w:rPr>
      <w:vertAlign w:val="superscript"/>
    </w:rPr>
  </w:style>
  <w:style w:type="character" w:styleId="Ancladenotafinal">
    <w:name w:val="Ancla de nota final"/>
    <w:rPr>
      <w:vertAlign w:val="superscript"/>
    </w:rPr>
  </w:style>
  <w:style w:type="character" w:styleId="Caracteresdenotafinal">
    <w:name w:val="Caracteres de nota final"/>
    <w:rPr/>
  </w:style>
  <w:style w:type="paragraph" w:styleId="Encabezado">
    <w:name w:val="Encabezado"/>
    <w:basedOn w:val="Normal"/>
    <w:next w:val="Cuerpodetexto"/>
    <w:pPr>
      <w:keepNext/>
      <w:spacing w:before="240" w:after="120"/>
    </w:pPr>
    <w:rPr>
      <w:rFonts w:ascii="Liberation Sans" w:hAnsi="Liberation Sans" w:eastAsia="Microsoft YaHei" w:cs="Mangal"/>
      <w:sz w:val="28"/>
      <w:szCs w:val="28"/>
    </w:rPr>
  </w:style>
  <w:style w:type="paragraph" w:styleId="Cuerpodetexto">
    <w:name w:val="Cuerpo de texto"/>
    <w:basedOn w:val="Normal"/>
    <w:pPr>
      <w:spacing w:lineRule="auto" w:line="288" w:before="0" w:after="140"/>
    </w:pPr>
    <w:rPr/>
  </w:style>
  <w:style w:type="paragraph" w:styleId="Lista">
    <w:name w:val="Lista"/>
    <w:basedOn w:val="Cuerpodetexto"/>
    <w:pPr/>
    <w:rPr>
      <w:rFonts w:cs="Mangal"/>
    </w:rPr>
  </w:style>
  <w:style w:type="paragraph" w:styleId="Pie">
    <w:name w:val="Pie"/>
    <w:basedOn w:val="Normal"/>
    <w:pPr>
      <w:suppressLineNumbers/>
      <w:spacing w:before="120" w:after="120"/>
    </w:pPr>
    <w:rPr>
      <w:rFonts w:cs="Mangal"/>
      <w:i/>
      <w:iCs/>
      <w:sz w:val="24"/>
      <w:szCs w:val="24"/>
    </w:rPr>
  </w:style>
  <w:style w:type="paragraph" w:styleId="Ndice">
    <w:name w:val="Índice"/>
    <w:basedOn w:val="Normal"/>
    <w:pPr>
      <w:suppressLineNumbers/>
    </w:pPr>
    <w:rPr>
      <w:rFonts w:cs="Mangal"/>
    </w:rPr>
  </w:style>
  <w:style w:type="paragraph" w:styleId="Ttulo">
    <w:name w:val="Título"/>
    <w:basedOn w:val="Normal"/>
    <w:next w:val="Normal"/>
    <w:link w:val="TitleChar"/>
    <w:uiPriority w:val="10"/>
    <w:qFormat/>
    <w:rsid w:val="0083644c"/>
    <w:pPr>
      <w:spacing w:lineRule="auto" w:line="240" w:before="0" w:after="0"/>
      <w:contextualSpacing/>
      <w:jc w:val="left"/>
    </w:pPr>
    <w:rPr>
      <w:rFonts w:ascii="Calibri Light" w:hAnsi="Calibri Light" w:eastAsia="" w:cs="" w:asciiTheme="majorHAnsi" w:cstheme="majorBidi" w:eastAsiaTheme="majorEastAsia" w:hAnsiTheme="majorHAnsi"/>
      <w:spacing w:val="-10"/>
      <w:sz w:val="56"/>
      <w:szCs w:val="56"/>
    </w:rPr>
  </w:style>
  <w:style w:type="paragraph" w:styleId="ListParagraph">
    <w:name w:val="List Paragraph"/>
    <w:basedOn w:val="Normal"/>
    <w:uiPriority w:val="34"/>
    <w:qFormat/>
    <w:rsid w:val="0083644c"/>
    <w:pPr>
      <w:spacing w:before="0" w:after="160"/>
      <w:ind w:left="720" w:hanging="0"/>
      <w:contextualSpacing/>
    </w:pPr>
    <w:rPr/>
  </w:style>
  <w:style w:type="paragraph" w:styleId="Encabezamiento">
    <w:name w:val="Encabezamiento"/>
    <w:basedOn w:val="Normal"/>
    <w:link w:val="HeaderChar"/>
    <w:uiPriority w:val="99"/>
    <w:unhideWhenUsed/>
    <w:rsid w:val="00bb635b"/>
    <w:pPr>
      <w:tabs>
        <w:tab w:val="center" w:pos="4513" w:leader="none"/>
        <w:tab w:val="right" w:pos="9026" w:leader="none"/>
      </w:tabs>
      <w:spacing w:lineRule="auto" w:line="240" w:before="0" w:after="0"/>
    </w:pPr>
    <w:rPr/>
  </w:style>
  <w:style w:type="paragraph" w:styleId="Piedepgina">
    <w:name w:val="Pie de página"/>
    <w:basedOn w:val="Normal"/>
    <w:link w:val="FooterChar"/>
    <w:uiPriority w:val="99"/>
    <w:unhideWhenUsed/>
    <w:rsid w:val="00bb635b"/>
    <w:pPr>
      <w:tabs>
        <w:tab w:val="center" w:pos="4513" w:leader="none"/>
        <w:tab w:val="right" w:pos="9026" w:leader="none"/>
      </w:tabs>
      <w:spacing w:lineRule="auto" w:line="240" w:before="0" w:after="0"/>
    </w:pPr>
    <w:rPr/>
  </w:style>
  <w:style w:type="paragraph" w:styleId="BalloonText">
    <w:name w:val="Balloon Text"/>
    <w:basedOn w:val="Normal"/>
    <w:link w:val="BalloonTextChar"/>
    <w:uiPriority w:val="99"/>
    <w:semiHidden/>
    <w:unhideWhenUsed/>
    <w:rsid w:val="00c42eba"/>
    <w:pPr>
      <w:spacing w:lineRule="auto" w:line="240" w:before="0" w:after="0"/>
    </w:pPr>
    <w:rPr>
      <w:rFonts w:ascii="Tahoma" w:hAnsi="Tahoma" w:cs="Tahoma"/>
      <w:sz w:val="16"/>
      <w:szCs w:val="16"/>
    </w:rPr>
  </w:style>
  <w:style w:type="paragraph" w:styleId="Footnotetext">
    <w:name w:val="footnote text"/>
    <w:basedOn w:val="Normal"/>
    <w:link w:val="FootnoteTextChar"/>
    <w:uiPriority w:val="99"/>
    <w:semiHidden/>
    <w:unhideWhenUsed/>
    <w:rsid w:val="002f2f61"/>
    <w:pPr>
      <w:spacing w:lineRule="auto" w:line="240" w:before="0" w:after="0"/>
    </w:pPr>
    <w:rPr>
      <w:sz w:val="20"/>
      <w:szCs w:val="20"/>
    </w:rPr>
  </w:style>
  <w:style w:type="paragraph" w:styleId="Encabezadodelndice">
    <w:name w:val="Encabezado del índice"/>
    <w:basedOn w:val="Encabezado1"/>
    <w:next w:val="Normal"/>
    <w:uiPriority w:val="39"/>
    <w:semiHidden/>
    <w:unhideWhenUsed/>
    <w:qFormat/>
    <w:rsid w:val="00931a82"/>
    <w:pPr>
      <w:spacing w:lineRule="auto" w:line="276" w:before="480" w:after="0"/>
    </w:pPr>
    <w:rPr>
      <w:bCs/>
      <w:color w:val="2E74B5" w:themeColor="accent1" w:themeShade="bf"/>
      <w:sz w:val="28"/>
      <w:szCs w:val="28"/>
      <w:lang w:val="en-US" w:eastAsia="ja-JP"/>
    </w:rPr>
  </w:style>
  <w:style w:type="paragraph" w:styleId="Ndice1">
    <w:name w:val="Índice 1"/>
    <w:basedOn w:val="Normal"/>
    <w:next w:val="Normal"/>
    <w:autoRedefine/>
    <w:uiPriority w:val="39"/>
    <w:unhideWhenUsed/>
    <w:rsid w:val="00931a82"/>
    <w:pPr>
      <w:spacing w:before="0" w:after="100"/>
    </w:pPr>
    <w:rPr/>
  </w:style>
  <w:style w:type="paragraph" w:styleId="Ndice2">
    <w:name w:val="Índice 2"/>
    <w:basedOn w:val="Normal"/>
    <w:next w:val="Normal"/>
    <w:autoRedefine/>
    <w:uiPriority w:val="39"/>
    <w:unhideWhenUsed/>
    <w:rsid w:val="00931a82"/>
    <w:pPr>
      <w:spacing w:before="0" w:after="100"/>
      <w:ind w:left="220" w:hanging="0"/>
    </w:pPr>
    <w:rPr/>
  </w:style>
  <w:style w:type="paragraph" w:styleId="Notaalpie">
    <w:name w:val="Nota al pie"/>
    <w:basedOn w:val="Normal"/>
    <w:pPr/>
    <w:rPr/>
  </w:style>
  <w:style w:type="numbering" w:styleId="NoList" w:default="1">
    <w:name w:val="No List"/>
    <w:uiPriority w:val="99"/>
    <w:semiHidden/>
    <w:unhideWhenUsed/>
  </w:style>
  <w:style w:type="table" w:default="1" w:styleId="TableNormal">
    <w:name w:val="Normal Table"/>
    <w:uiPriority w:val="99"/>
    <w:semiHidden/>
    <w:unhideWhenUsed/>
    <w:tblPr>
      <w:tblInd w:type="dxa" w:w="0"/>
      <w:tblCellMar>
        <w:top w:w="0" w:type="dxa"/>
        <w:left w:w="108" w:type="dxa"/>
        <w:bottom w:w="0" w:type="dxa"/>
        <w:right w:w="108" w:type="dxa"/>
      </w:tblCellMar>
    </w:tblPr>
  </w:style>
  <w:style w:type="table" w:styleId="TableGrid">
    <w:name w:val="Table Grid"/>
    <w:basedOn w:val="TableNormal"/>
    <w:uiPriority w:val="39"/>
    <w:rsid w:val="00bb635b"/>
    <w:pPr>
      <w:spacing w:lineRule="auto" w:line="240" w:after="0"/>
    </w:pPr>
    <w:tblPr>
      <w:tblBorders>
        <w:top w:space="0" w:sz="4" w:color="auto" w:val="single"/>
        <w:left w:space="0" w:sz="4" w:color="auto" w:val="single"/>
        <w:bottom w:space="0" w:sz="4" w:color="auto" w:val="single"/>
        <w:right w:space="0" w:sz="4" w:color="auto" w:val="single"/>
        <w:insideH w:space="0" w:sz="4" w:color="auto" w:val="single"/>
        <w:insideV w:space="0" w:sz="4" w:color="auto" w:val="single"/>
      </w:tblBorders>
    </w:tblPr>
  </w:style>
  <w:style w:type="table" w:customStyle="1" w:styleId="PlainTable21">
    <w:name w:val="Plain Table 21"/>
    <w:basedOn w:val="TableNormal"/>
    <w:uiPriority w:val="42"/>
    <w:rsid w:val="001a5afc"/>
    <w:pPr>
      <w:spacing w:lineRule="auto" w:line="240" w:after="0"/>
    </w:pPr>
    <w:tblPr>
      <w:tblStyleRowBandSize w:val="1"/>
      <w:tblStyleColBandSize w:val="1"/>
      <w:tblBorders>
        <w:top w:space="0" w:sz="4" w:themeTint="80" w:themeColor="text1" w:color="7F7F7F" w:val="single"/>
        <w:bottom w:space="0" w:sz="4" w:themeTint="80" w:themeColor="text1" w:color="7F7F7F" w:val="single"/>
      </w:tblBorders>
    </w:tblPr>
    <w:tblStylePr w:type="firstRow">
      <w:rPr>
        <w:b/>
        <w:bCs/>
      </w:rPr>
      <w:tblPr/>
      <w:tcPr>
        <w:tcBorders>
          <w:bottom w:space="0" w:sz="4" w:themeColor="text1" w:color="7F7F7F" w:val="single"/>
        </w:tcBorders>
      </w:tcPr>
    </w:tblStylePr>
    <w:tblStylePr w:type="lastRow">
      <w:rPr>
        <w:b/>
        <w:bCs/>
      </w:rPr>
      <w:tblPr/>
      <w:tcPr>
        <w:tcBorders>
          <w:top w:space="0" w:sz="4" w:themeColor="text1" w:color="7F7F7F" w:val="single"/>
        </w:tcBorders>
      </w:tcPr>
    </w:tblStylePr>
    <w:tblStylePr w:type="firstCol">
      <w:rPr>
        <w:b/>
        <w:bCs/>
      </w:rPr>
      <w:tblPr/>
    </w:tblStylePr>
    <w:tblStylePr w:type="lastCol">
      <w:rPr>
        <w:b/>
        <w:bCs/>
      </w:rPr>
      <w:tblPr/>
    </w:tblStylePr>
    <w:tblStylePr w:type="band1Vert">
      <w:tblPr/>
      <w:tcPr>
        <w:tcBorders>
          <w:left w:space="0" w:sz="4" w:themeColor="text1" w:color="7F7F7F" w:val="single"/>
          <w:right w:space="0" w:sz="4" w:themeColor="text1" w:color="7F7F7F" w:val="single"/>
        </w:tcBorders>
      </w:tcPr>
    </w:tblStylePr>
    <w:tblStylePr w:type="band2Vert">
      <w:tblPr/>
      <w:tcPr>
        <w:tcBorders>
          <w:left w:space="0" w:sz="4" w:themeColor="text1" w:color="7F7F7F" w:val="single"/>
          <w:right w:space="0" w:sz="4" w:themeColor="text1" w:color="7F7F7F" w:val="single"/>
        </w:tcBorders>
      </w:tcPr>
    </w:tblStylePr>
    <w:tblStylePr w:type="band1Horz">
      <w:tblPr/>
      <w:tcPr>
        <w:tcBorders>
          <w:top w:space="0" w:sz="4" w:themeColor="text1" w:color="7F7F7F" w:val="single"/>
          <w:bottom w:space="0" w:sz="4" w:themeColor="text1" w:color="7F7F7F" w:val="single"/>
        </w:tcBorders>
      </w:tcPr>
    </w:tblStyle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header" Target="header1.xml"/><Relationship Id="rId4" Type="http://schemas.openxmlformats.org/officeDocument/2006/relationships/footer" Target="footer1.xml"/><Relationship Id="rId5" Type="http://schemas.openxmlformats.org/officeDocument/2006/relationships/footnotes" Target="footnotes.xml"/><Relationship Id="rId6" Type="http://schemas.openxmlformats.org/officeDocument/2006/relationships/numbering" Target="numbering.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Relationship Id="rId10" Type="http://schemas.openxmlformats.org/officeDocument/2006/relationships/customXml" Target="../customXml/item1.xml"/>
</Relationships>
</file>

<file path=word/_rels/header1.xml.rels><?xml version="1.0" encoding="UTF-8"?>
<Relationships xmlns="http://schemas.openxmlformats.org/package/2006/relationships"><Relationship Id="rId1" Type="http://schemas.openxmlformats.org/officeDocument/2006/relationships/image" Target="media/image2.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62B09B-F6F0-43FC-A53C-2A5546402C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Application>LibreOffice/4.3.0.4$Windows_x86 LibreOffice_project/62ad5818884a2fc2e5780dd45466868d41009ec0</Application>
  <Paragraphs>221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2015-01-29T21:53:00Z</dcterms:created>
  <dc:creator>Fernando Martin</dc:creator>
  <dc:language>es-ES</dc:language>
  <cp:lastModifiedBy>Martin Atienza, Fernando</cp:lastModifiedBy>
  <cp:lastPrinted>2014-11-03T19:36:00Z</cp:lastPrinted>
  <dcterms:modified xsi:type="dcterms:W3CDTF">2015-01-29T22:12:00Z</dcterms:modified>
  <cp:revision>4</cp:revision>
</cp:coreProperties>
</file>